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AA5E" w14:textId="5C6052FC" w:rsidR="00670FEC" w:rsidRPr="00565CD3" w:rsidRDefault="0058474E" w:rsidP="00565CD3">
      <w:pPr>
        <w:pStyle w:val="Header"/>
        <w:rPr>
          <w:rStyle w:val="eop"/>
          <w:rFonts w:asciiTheme="majorHAnsi" w:hAnsiTheme="majorHAnsi" w:cstheme="majorHAnsi"/>
          <w:color w:val="2F5496" w:themeColor="accent1" w:themeShade="BF"/>
          <w:sz w:val="26"/>
          <w:szCs w:val="26"/>
        </w:rPr>
      </w:pPr>
      <w:r w:rsidRPr="001E6D69">
        <w:rPr>
          <w:rStyle w:val="normaltextrun"/>
          <w:rFonts w:asciiTheme="majorHAnsi" w:hAnsiTheme="majorHAnsi" w:cstheme="majorHAnsi"/>
          <w:color w:val="2F5496" w:themeColor="accent1" w:themeShade="BF"/>
          <w:sz w:val="26"/>
          <w:szCs w:val="26"/>
        </w:rPr>
        <w:t>Phase Three</w:t>
      </w:r>
      <w:r w:rsidR="0058646C" w:rsidRPr="001E6D69">
        <w:rPr>
          <w:rStyle w:val="normaltextrun"/>
          <w:rFonts w:asciiTheme="majorHAnsi" w:hAnsiTheme="majorHAnsi" w:cstheme="majorHAnsi"/>
          <w:color w:val="2F5496" w:themeColor="accent1" w:themeShade="BF"/>
          <w:sz w:val="26"/>
          <w:szCs w:val="26"/>
        </w:rPr>
        <w:t>:</w:t>
      </w:r>
      <w:r w:rsidRPr="001E6D69">
        <w:rPr>
          <w:rStyle w:val="normaltextrun"/>
          <w:rFonts w:asciiTheme="majorHAnsi" w:hAnsiTheme="majorHAnsi" w:cstheme="majorHAnsi"/>
          <w:color w:val="2F5496" w:themeColor="accent1" w:themeShade="BF"/>
          <w:sz w:val="26"/>
          <w:szCs w:val="26"/>
        </w:rPr>
        <w:t xml:space="preserve"> Apparel and Footwear Collaborative Engagement</w:t>
      </w:r>
    </w:p>
    <w:p w14:paraId="374829BD" w14:textId="03B247EA" w:rsidR="004F0185" w:rsidRDefault="00FE49C2" w:rsidP="00670FEC">
      <w:pPr>
        <w:pStyle w:val="Heading2"/>
        <w:rPr>
          <w:rStyle w:val="eop"/>
        </w:rPr>
      </w:pPr>
      <w:r>
        <w:rPr>
          <w:rStyle w:val="eop"/>
        </w:rPr>
        <w:t>Overview</w:t>
      </w:r>
    </w:p>
    <w:p w14:paraId="08D53049" w14:textId="05C45F3B" w:rsidR="00953FD5" w:rsidRPr="009E2ECC" w:rsidRDefault="00953FD5" w:rsidP="009E2ECC">
      <w:r>
        <w:t xml:space="preserve">The </w:t>
      </w:r>
      <w:r w:rsidR="00B45217">
        <w:t>A</w:t>
      </w:r>
      <w:r>
        <w:t xml:space="preserve">pparel and </w:t>
      </w:r>
      <w:r w:rsidR="00B45217">
        <w:t>F</w:t>
      </w:r>
      <w:r>
        <w:t>ootwear collaborative engagement led by the ICCR a</w:t>
      </w:r>
      <w:r w:rsidR="007E7746">
        <w:t xml:space="preserve">nd supported by KnowTheChain is an initiative </w:t>
      </w:r>
      <w:r w:rsidR="009E2ECC">
        <w:t>in which</w:t>
      </w:r>
      <w:r w:rsidR="007E7746">
        <w:t xml:space="preserve"> institutional investors work together to </w:t>
      </w:r>
      <w:proofErr w:type="gramStart"/>
      <w:r w:rsidR="007E7746">
        <w:t>take action</w:t>
      </w:r>
      <w:proofErr w:type="gramEnd"/>
      <w:r w:rsidR="007E7746">
        <w:t xml:space="preserve"> on labour rights and forced labour issues in the supply chains of </w:t>
      </w:r>
      <w:r w:rsidR="009E2ECC">
        <w:t>a</w:t>
      </w:r>
      <w:r w:rsidR="007E7746">
        <w:t xml:space="preserve">pparel and </w:t>
      </w:r>
      <w:r w:rsidR="009E2ECC">
        <w:t>f</w:t>
      </w:r>
      <w:r w:rsidR="007E7746">
        <w:t>ootwear companies. Investors use their collective influence with companies to drive positive outcomes for workers. The Initiative was set up in</w:t>
      </w:r>
      <w:r w:rsidR="00EF5176">
        <w:t xml:space="preserve"> 201</w:t>
      </w:r>
      <w:r w:rsidR="0082086F">
        <w:t xml:space="preserve">8 </w:t>
      </w:r>
      <w:r w:rsidR="007E7746">
        <w:t xml:space="preserve">and has been coordinated by the </w:t>
      </w:r>
      <w:r w:rsidR="00EF5176">
        <w:t>ICCR</w:t>
      </w:r>
      <w:r w:rsidR="007E7746">
        <w:t xml:space="preserve"> since then</w:t>
      </w:r>
      <w:r w:rsidR="00EF5176">
        <w:t>.</w:t>
      </w:r>
    </w:p>
    <w:p w14:paraId="6EE587CB" w14:textId="52985FF5" w:rsidR="00197E51" w:rsidRDefault="00D81E30" w:rsidP="00D86C60">
      <w:proofErr w:type="spellStart"/>
      <w:r>
        <w:t>KnowTheChain’s</w:t>
      </w:r>
      <w:proofErr w:type="spellEnd"/>
      <w:r>
        <w:t xml:space="preserve"> </w:t>
      </w:r>
      <w:r w:rsidR="009368EA">
        <w:t>methodology revisions</w:t>
      </w:r>
      <w:r>
        <w:t xml:space="preserve"> for the </w:t>
      </w:r>
      <w:r w:rsidR="00D86C60">
        <w:t>2022-23 benchmark</w:t>
      </w:r>
      <w:r>
        <w:t>s</w:t>
      </w:r>
      <w:r w:rsidR="00983C95">
        <w:t xml:space="preserve"> included</w:t>
      </w:r>
      <w:r w:rsidR="00D86C60">
        <w:t xml:space="preserve"> </w:t>
      </w:r>
      <w:r w:rsidR="001F2299">
        <w:t>reduc</w:t>
      </w:r>
      <w:r w:rsidR="00983C95">
        <w:t>ing</w:t>
      </w:r>
      <w:r w:rsidR="001F2299">
        <w:t xml:space="preserve"> the focus and weight given to policies and </w:t>
      </w:r>
      <w:r w:rsidR="00BE03B9">
        <w:t>enhanc</w:t>
      </w:r>
      <w:r w:rsidR="00983C95">
        <w:t>ing the</w:t>
      </w:r>
      <w:r w:rsidR="00BE03B9">
        <w:t xml:space="preserve"> focus on</w:t>
      </w:r>
      <w:r w:rsidR="000C612A">
        <w:t xml:space="preserve"> the</w:t>
      </w:r>
      <w:r w:rsidR="00BE03B9">
        <w:t xml:space="preserve"> implementation of processes, as well as outcomes for workers</w:t>
      </w:r>
      <w:r>
        <w:t>. The revise</w:t>
      </w:r>
      <w:r w:rsidRPr="003908D0">
        <w:t xml:space="preserve">d </w:t>
      </w:r>
      <w:hyperlink r:id="rId8" w:history="1">
        <w:r w:rsidRPr="00C477C7">
          <w:rPr>
            <w:rStyle w:val="Hyperlink"/>
          </w:rPr>
          <w:t>KnowTheChain benchmark methodology</w:t>
        </w:r>
      </w:hyperlink>
      <w:r w:rsidRPr="003908D0">
        <w:t xml:space="preserve"> and </w:t>
      </w:r>
      <w:hyperlink r:id="rId9" w:history="1">
        <w:r w:rsidRPr="00E36654">
          <w:rPr>
            <w:rStyle w:val="Hyperlink"/>
          </w:rPr>
          <w:t>company lists</w:t>
        </w:r>
      </w:hyperlink>
      <w:r>
        <w:t xml:space="preserve"> for the 2022-23 benchmarks are publi</w:t>
      </w:r>
      <w:r w:rsidR="00B260BC">
        <w:t>cly available</w:t>
      </w:r>
      <w:r>
        <w:t xml:space="preserve"> on the</w:t>
      </w:r>
      <w:r w:rsidR="006B2C2A">
        <w:t xml:space="preserve"> KnowTheChain</w:t>
      </w:r>
      <w:r>
        <w:t xml:space="preserve"> website. </w:t>
      </w:r>
    </w:p>
    <w:p w14:paraId="1AAB865F" w14:textId="311F389A" w:rsidR="00360FD8" w:rsidRDefault="00197E51" w:rsidP="00D86C60">
      <w:pPr>
        <w:rPr>
          <w:rFonts w:cstheme="minorHAnsi"/>
        </w:rPr>
      </w:pPr>
      <w:r w:rsidRPr="00F17143">
        <w:rPr>
          <w:rStyle w:val="eop"/>
          <w:rFonts w:ascii="Calibri" w:hAnsi="Calibri" w:cs="Calibri"/>
        </w:rPr>
        <w:t>This phase of the</w:t>
      </w:r>
      <w:r>
        <w:rPr>
          <w:rStyle w:val="eop"/>
          <w:rFonts w:ascii="Calibri" w:hAnsi="Calibri" w:cs="Calibri"/>
        </w:rPr>
        <w:t xml:space="preserve"> Apparel and Footwear</w:t>
      </w:r>
      <w:r w:rsidR="00F1694B">
        <w:rPr>
          <w:rStyle w:val="eop"/>
          <w:rFonts w:ascii="Calibri" w:hAnsi="Calibri" w:cs="Calibri"/>
        </w:rPr>
        <w:t xml:space="preserve"> Collaborative</w:t>
      </w:r>
      <w:r w:rsidRPr="00F17143">
        <w:rPr>
          <w:rStyle w:val="eop"/>
          <w:rFonts w:ascii="Calibri" w:hAnsi="Calibri" w:cs="Calibri"/>
        </w:rPr>
        <w:t xml:space="preserve"> </w:t>
      </w:r>
      <w:r w:rsidR="00F1694B">
        <w:rPr>
          <w:rStyle w:val="eop"/>
          <w:rFonts w:cstheme="minorHAnsi"/>
        </w:rPr>
        <w:t>E</w:t>
      </w:r>
      <w:r w:rsidRPr="00F17143">
        <w:rPr>
          <w:rStyle w:val="eop"/>
          <w:rFonts w:cstheme="minorHAnsi"/>
        </w:rPr>
        <w:t xml:space="preserve">ngagement aims to build on the </w:t>
      </w:r>
      <w:hyperlink r:id="rId10" w:history="1">
        <w:r w:rsidRPr="00F17143">
          <w:rPr>
            <w:rStyle w:val="Hyperlink"/>
            <w:rFonts w:cstheme="minorHAnsi"/>
          </w:rPr>
          <w:t>previous focus</w:t>
        </w:r>
      </w:hyperlink>
      <w:r w:rsidRPr="00F17143">
        <w:rPr>
          <w:rStyle w:val="eop"/>
          <w:rFonts w:cstheme="minorHAnsi"/>
        </w:rPr>
        <w:t xml:space="preserve"> of the working group</w:t>
      </w:r>
      <w:r w:rsidR="003C488D">
        <w:rPr>
          <w:rStyle w:val="eop"/>
          <w:rFonts w:cstheme="minorHAnsi"/>
        </w:rPr>
        <w:t xml:space="preserve"> targeting the </w:t>
      </w:r>
      <w:r w:rsidR="003B01C3">
        <w:rPr>
          <w:rStyle w:val="eop"/>
          <w:rFonts w:cstheme="minorHAnsi"/>
        </w:rPr>
        <w:t>companies benchmarked by KnowTheChain in 2018</w:t>
      </w:r>
      <w:r w:rsidR="00DC7B33">
        <w:rPr>
          <w:rStyle w:val="eop"/>
          <w:rFonts w:cstheme="minorHAnsi"/>
        </w:rPr>
        <w:t>.</w:t>
      </w:r>
      <w:r w:rsidRPr="00F17143">
        <w:rPr>
          <w:rStyle w:val="eop"/>
          <w:rFonts w:cstheme="minorHAnsi"/>
        </w:rPr>
        <w:t xml:space="preserve"> </w:t>
      </w:r>
      <w:r w:rsidR="003B520B">
        <w:rPr>
          <w:rStyle w:val="eop"/>
          <w:rFonts w:cstheme="minorHAnsi"/>
        </w:rPr>
        <w:t>The focus will move to looking at whether</w:t>
      </w:r>
      <w:r w:rsidRPr="00F17143">
        <w:rPr>
          <w:rStyle w:val="eop"/>
          <w:rFonts w:cstheme="minorHAnsi"/>
        </w:rPr>
        <w:t xml:space="preserve"> companies </w:t>
      </w:r>
      <w:r w:rsidRPr="00F17143">
        <w:rPr>
          <w:rFonts w:cstheme="minorHAnsi"/>
        </w:rPr>
        <w:t xml:space="preserve">are adopting robust human rights due diligence approaches to address </w:t>
      </w:r>
      <w:hyperlink r:id="rId11" w:history="1">
        <w:r w:rsidRPr="00F17143">
          <w:rPr>
            <w:rStyle w:val="Hyperlink"/>
            <w:rFonts w:cstheme="minorHAnsi"/>
          </w:rPr>
          <w:t>forced labour risks</w:t>
        </w:r>
      </w:hyperlink>
      <w:r w:rsidRPr="00F17143">
        <w:rPr>
          <w:rFonts w:cstheme="minorHAnsi"/>
        </w:rPr>
        <w:t xml:space="preserve"> in their supply chains </w:t>
      </w:r>
      <w:r w:rsidR="00D0763A">
        <w:rPr>
          <w:rFonts w:cstheme="minorHAnsi"/>
        </w:rPr>
        <w:t>in alignment with the UN Guiding Principles, the OECD Guidelines</w:t>
      </w:r>
      <w:r w:rsidR="009E2ECC">
        <w:rPr>
          <w:rFonts w:cstheme="minorHAnsi"/>
        </w:rPr>
        <w:t>,</w:t>
      </w:r>
      <w:r w:rsidR="00D0763A">
        <w:rPr>
          <w:rFonts w:cstheme="minorHAnsi"/>
        </w:rPr>
        <w:t xml:space="preserve"> the </w:t>
      </w:r>
      <w:r w:rsidR="000673B2">
        <w:rPr>
          <w:rFonts w:cstheme="minorHAnsi"/>
        </w:rPr>
        <w:t>ILO core labour standards, and the vast swathe of</w:t>
      </w:r>
      <w:r w:rsidRPr="00F17143">
        <w:rPr>
          <w:rFonts w:cstheme="minorHAnsi"/>
        </w:rPr>
        <w:t xml:space="preserve"> regulatory </w:t>
      </w:r>
      <w:hyperlink r:id="rId12" w:history="1">
        <w:r w:rsidRPr="00F17143">
          <w:rPr>
            <w:rStyle w:val="Hyperlink"/>
            <w:rFonts w:cstheme="minorHAnsi"/>
          </w:rPr>
          <w:t>due diligence requirements</w:t>
        </w:r>
      </w:hyperlink>
      <w:r w:rsidRPr="00F17143">
        <w:rPr>
          <w:rFonts w:cstheme="minorHAnsi"/>
        </w:rPr>
        <w:t xml:space="preserve"> </w:t>
      </w:r>
      <w:r w:rsidR="000673B2">
        <w:rPr>
          <w:rFonts w:cstheme="minorHAnsi"/>
        </w:rPr>
        <w:t xml:space="preserve">coming on stream </w:t>
      </w:r>
      <w:r w:rsidRPr="00F17143">
        <w:rPr>
          <w:rFonts w:cstheme="minorHAnsi"/>
        </w:rPr>
        <w:t>globally.</w:t>
      </w:r>
    </w:p>
    <w:p w14:paraId="5323A9D3" w14:textId="121589DB" w:rsidR="000B3BC9" w:rsidRDefault="00197E51" w:rsidP="00D86C60">
      <w:r w:rsidRPr="00F17143">
        <w:rPr>
          <w:rFonts w:cstheme="minorHAnsi"/>
        </w:rPr>
        <w:t xml:space="preserve">Robust due diligence processes examine companies’ own impacts on their supply chains – including through the impact of </w:t>
      </w:r>
      <w:r w:rsidR="00D31388">
        <w:rPr>
          <w:rFonts w:cstheme="minorHAnsi"/>
        </w:rPr>
        <w:t>irresponsible</w:t>
      </w:r>
      <w:r w:rsidRPr="00F17143">
        <w:rPr>
          <w:rFonts w:cstheme="minorHAnsi"/>
        </w:rPr>
        <w:t xml:space="preserve"> purchasing practices and looking at how they are ensuring that workers’ rights to freedom of association and collective bargaining are protected</w:t>
      </w:r>
      <w:r>
        <w:rPr>
          <w:rFonts w:cstheme="minorHAnsi"/>
        </w:rPr>
        <w:t>.</w:t>
      </w:r>
      <w:r w:rsidR="001721EC">
        <w:rPr>
          <w:rFonts w:cstheme="minorHAnsi"/>
        </w:rPr>
        <w:t xml:space="preserve"> </w:t>
      </w:r>
      <w:r w:rsidR="006D7E98" w:rsidRPr="006047A0">
        <w:rPr>
          <w:rFonts w:cstheme="minorHAnsi"/>
        </w:rPr>
        <w:t xml:space="preserve">Companies should be adopting responsible purchasing practices </w:t>
      </w:r>
      <w:r w:rsidR="003A46F5" w:rsidRPr="006047A0">
        <w:t xml:space="preserve">like prompt payment, accurate </w:t>
      </w:r>
      <w:proofErr w:type="gramStart"/>
      <w:r w:rsidR="003A46F5" w:rsidRPr="006047A0">
        <w:t>forecasting</w:t>
      </w:r>
      <w:proofErr w:type="gramEnd"/>
      <w:r w:rsidR="003A46F5" w:rsidRPr="006047A0">
        <w:t xml:space="preserve"> and reasonable</w:t>
      </w:r>
      <w:r w:rsidR="003A46F5" w:rsidRPr="003A46F5">
        <w:t xml:space="preserve"> lead times</w:t>
      </w:r>
      <w:r w:rsidR="006D7E98" w:rsidRPr="003A46F5">
        <w:rPr>
          <w:rFonts w:cstheme="minorHAnsi"/>
        </w:rPr>
        <w:t xml:space="preserve"> </w:t>
      </w:r>
      <w:r w:rsidR="00DC147F">
        <w:rPr>
          <w:rFonts w:cstheme="minorHAnsi"/>
        </w:rPr>
        <w:t>as well as</w:t>
      </w:r>
      <w:r w:rsidR="006D7E98" w:rsidRPr="003A46F5">
        <w:rPr>
          <w:rFonts w:cstheme="minorHAnsi"/>
        </w:rPr>
        <w:t xml:space="preserve"> ringfencing</w:t>
      </w:r>
      <w:r w:rsidR="00DC147F">
        <w:rPr>
          <w:rFonts w:cstheme="minorHAnsi"/>
        </w:rPr>
        <w:t xml:space="preserve"> labour costs as a </w:t>
      </w:r>
      <w:r w:rsidR="00BD663B">
        <w:rPr>
          <w:rFonts w:cstheme="minorHAnsi"/>
        </w:rPr>
        <w:t>baseline necessity for responsible business.</w:t>
      </w:r>
      <w:r w:rsidR="006D7E98" w:rsidRPr="003A46F5">
        <w:rPr>
          <w:rStyle w:val="FootnoteReference"/>
          <w:rFonts w:cstheme="minorHAnsi"/>
        </w:rPr>
        <w:footnoteReference w:id="1"/>
      </w:r>
      <w:r w:rsidR="003A46F5" w:rsidRPr="003A46F5">
        <w:rPr>
          <w:rFonts w:cstheme="minorHAnsi"/>
        </w:rPr>
        <w:t xml:space="preserve"> </w:t>
      </w:r>
      <w:r w:rsidR="003A46F5">
        <w:t>Without such practices, companies are at risk of creating conditions which make it difficult or impossible for suppliers to comply with supply chain policies on human rights and working conditions.</w:t>
      </w:r>
      <w:r w:rsidR="00FF23C2">
        <w:rPr>
          <w:rStyle w:val="FootnoteReference"/>
        </w:rPr>
        <w:footnoteReference w:id="2"/>
      </w:r>
    </w:p>
    <w:p w14:paraId="0BE4CF0E" w14:textId="1EF13FCD" w:rsidR="001E1649" w:rsidRPr="009E2ECC" w:rsidRDefault="0019190C" w:rsidP="009E2ECC">
      <w:pPr>
        <w:pStyle w:val="pf0"/>
        <w:rPr>
          <w:rFonts w:ascii="Arial" w:hAnsi="Arial" w:cs="Arial"/>
          <w:sz w:val="20"/>
          <w:szCs w:val="20"/>
        </w:rPr>
      </w:pPr>
      <w:r>
        <w:rPr>
          <w:rStyle w:val="normaltextrun"/>
          <w:rFonts w:ascii="Calibri" w:hAnsi="Calibri" w:cs="Calibri"/>
          <w:sz w:val="22"/>
          <w:szCs w:val="22"/>
        </w:rPr>
        <w:t xml:space="preserve">In the 2021 KnowTheChain Apparel and Footwear Benchmark, </w:t>
      </w:r>
      <w:r w:rsidRPr="00B63D74">
        <w:rPr>
          <w:rStyle w:val="normaltextrun"/>
          <w:rFonts w:ascii="Calibri" w:hAnsi="Calibri" w:cs="Calibri"/>
          <w:sz w:val="22"/>
          <w:szCs w:val="22"/>
        </w:rPr>
        <w:t>62% of companies disclosed limited information on responsible purchasing practices (such as avoiding practices that increase labour risks, including downward pressure on pricing and sudden changes in workload), however only 14% reported on the adoption and implementation of such practices. Only one benchmarked company disclosed that it ringfences labour costs, such that workers’ wages are not negatively impacted in pricing negotiations. </w:t>
      </w:r>
      <w:r w:rsidR="009E2ECC" w:rsidRPr="009E2ECC">
        <w:rPr>
          <w:rStyle w:val="normaltextrun"/>
          <w:rFonts w:ascii="Calibri" w:hAnsi="Calibri" w:cs="Calibri"/>
          <w:sz w:val="22"/>
          <w:szCs w:val="22"/>
        </w:rPr>
        <w:t>A third (32%) of companies disclosed the length of their payment terms; only 11% reported that their payment times are 30 days, which is industry best practice (and did not report extending payment times during the pandemic).</w:t>
      </w:r>
      <w:r w:rsidR="009E2ECC" w:rsidRPr="009E2ECC">
        <w:rPr>
          <w:rFonts w:ascii="Segoe UI" w:hAnsi="Segoe UI" w:cs="Segoe UI"/>
          <w:sz w:val="18"/>
          <w:szCs w:val="18"/>
        </w:rPr>
        <w:t xml:space="preserve"> </w:t>
      </w:r>
      <w:r w:rsidRPr="00B63D74">
        <w:rPr>
          <w:rStyle w:val="eop"/>
          <w:rFonts w:ascii="Calibri" w:hAnsi="Calibri" w:cs="Calibri"/>
          <w:sz w:val="22"/>
          <w:szCs w:val="22"/>
        </w:rPr>
        <w:t> </w:t>
      </w:r>
    </w:p>
    <w:p w14:paraId="0F02A419" w14:textId="5080E194" w:rsidR="007A57DF" w:rsidRDefault="0023623B" w:rsidP="00D86C60">
      <w:pPr>
        <w:rPr>
          <w:rFonts w:cstheme="minorHAnsi"/>
        </w:rPr>
      </w:pPr>
      <w:r>
        <w:rPr>
          <w:rFonts w:cstheme="minorHAnsi"/>
        </w:rPr>
        <w:t>Model contract clauses</w:t>
      </w:r>
      <w:r w:rsidR="00420282">
        <w:rPr>
          <w:rFonts w:cstheme="minorHAnsi"/>
        </w:rPr>
        <w:t xml:space="preserve">, framed by the </w:t>
      </w:r>
      <w:hyperlink r:id="rId13" w:history="1">
        <w:r w:rsidR="009948FA" w:rsidRPr="009948FA">
          <w:rPr>
            <w:rStyle w:val="Hyperlink"/>
            <w:rFonts w:cstheme="minorHAnsi"/>
          </w:rPr>
          <w:t>Contractual Clauses Project</w:t>
        </w:r>
      </w:hyperlink>
      <w:r w:rsidR="001D3082">
        <w:rPr>
          <w:rFonts w:cstheme="minorHAnsi"/>
        </w:rPr>
        <w:t xml:space="preserve">, </w:t>
      </w:r>
      <w:r w:rsidR="00C54047">
        <w:rPr>
          <w:rFonts w:cstheme="minorHAnsi"/>
        </w:rPr>
        <w:t>present</w:t>
      </w:r>
      <w:r w:rsidR="00FE7F22">
        <w:rPr>
          <w:rFonts w:cstheme="minorHAnsi"/>
        </w:rPr>
        <w:t xml:space="preserve"> an alternative to </w:t>
      </w:r>
      <w:r w:rsidR="00A20CE3">
        <w:rPr>
          <w:rFonts w:cstheme="minorHAnsi"/>
        </w:rPr>
        <w:t xml:space="preserve">traditional contracting, abandoning supplier-only </w:t>
      </w:r>
      <w:r w:rsidR="00BF04C1">
        <w:rPr>
          <w:rFonts w:cstheme="minorHAnsi"/>
        </w:rPr>
        <w:t>representations</w:t>
      </w:r>
      <w:r w:rsidR="005E2A16">
        <w:rPr>
          <w:rFonts w:cstheme="minorHAnsi"/>
        </w:rPr>
        <w:t>,</w:t>
      </w:r>
      <w:r w:rsidR="00A20CE3">
        <w:rPr>
          <w:rFonts w:cstheme="minorHAnsi"/>
        </w:rPr>
        <w:t xml:space="preserve"> in place of a joint approach in which companies also take on responsibilities </w:t>
      </w:r>
      <w:r w:rsidR="00FE7F22">
        <w:rPr>
          <w:rFonts w:cstheme="minorHAnsi"/>
        </w:rPr>
        <w:t xml:space="preserve">associated with these relationships. </w:t>
      </w:r>
      <w:r w:rsidR="000B18B3">
        <w:rPr>
          <w:rFonts w:cstheme="minorHAnsi"/>
        </w:rPr>
        <w:t xml:space="preserve">In addition to </w:t>
      </w:r>
      <w:r w:rsidR="00D3632C">
        <w:rPr>
          <w:rFonts w:cstheme="minorHAnsi"/>
        </w:rPr>
        <w:t>integrating</w:t>
      </w:r>
      <w:r w:rsidR="0080049D">
        <w:rPr>
          <w:rFonts w:cstheme="minorHAnsi"/>
        </w:rPr>
        <w:t xml:space="preserve"> responsibilities relating to</w:t>
      </w:r>
      <w:r w:rsidR="00D3632C">
        <w:rPr>
          <w:rFonts w:cstheme="minorHAnsi"/>
        </w:rPr>
        <w:t xml:space="preserve"> responsible purchasing practices </w:t>
      </w:r>
      <w:r w:rsidR="007B743E">
        <w:rPr>
          <w:rFonts w:cstheme="minorHAnsi"/>
        </w:rPr>
        <w:t>of the buyer, the</w:t>
      </w:r>
      <w:r w:rsidR="007A57DF">
        <w:rPr>
          <w:rFonts w:cstheme="minorHAnsi"/>
        </w:rPr>
        <w:t xml:space="preserve"> </w:t>
      </w:r>
      <w:r w:rsidR="00341BA2">
        <w:rPr>
          <w:rFonts w:cstheme="minorHAnsi"/>
        </w:rPr>
        <w:t xml:space="preserve">model contract clauses </w:t>
      </w:r>
      <w:r w:rsidR="00061C6C">
        <w:rPr>
          <w:rFonts w:cstheme="minorHAnsi"/>
        </w:rPr>
        <w:t xml:space="preserve">integrate human rights remedy into </w:t>
      </w:r>
      <w:r w:rsidR="00D84C63">
        <w:rPr>
          <w:rFonts w:cstheme="minorHAnsi"/>
        </w:rPr>
        <w:t xml:space="preserve">supplier contracts, reflecting the fact that traditional contract remedies do not </w:t>
      </w:r>
      <w:r w:rsidR="00D84AF3">
        <w:rPr>
          <w:rFonts w:cstheme="minorHAnsi"/>
        </w:rPr>
        <w:t xml:space="preserve">provide for remedy for </w:t>
      </w:r>
      <w:r w:rsidR="003161E2">
        <w:rPr>
          <w:rFonts w:cstheme="minorHAnsi"/>
        </w:rPr>
        <w:t xml:space="preserve">affected workers. </w:t>
      </w:r>
    </w:p>
    <w:p w14:paraId="33A20DE0" w14:textId="22EDD5B9" w:rsidR="00773C6C" w:rsidRDefault="00DD1C87" w:rsidP="00773C6C">
      <w:r>
        <w:lastRenderedPageBreak/>
        <w:t>Freedom of association and collective bargaining are enabling rights for supply chain workers which better position workers to achieve their demands collectively.</w:t>
      </w:r>
      <w:r w:rsidR="0035792A">
        <w:rPr>
          <w:rStyle w:val="FootnoteReference"/>
        </w:rPr>
        <w:footnoteReference w:id="3"/>
      </w:r>
      <w:r w:rsidR="00706281">
        <w:t xml:space="preserve"> </w:t>
      </w:r>
      <w:r w:rsidR="00706281" w:rsidRPr="00D00076">
        <w:t xml:space="preserve">Global Framework Agreements (e.g. those between </w:t>
      </w:r>
      <w:hyperlink r:id="rId14" w:history="1">
        <w:r w:rsidR="00706281" w:rsidRPr="00D00076">
          <w:rPr>
            <w:rStyle w:val="Hyperlink"/>
          </w:rPr>
          <w:t xml:space="preserve">H&amp;M, </w:t>
        </w:r>
        <w:proofErr w:type="spellStart"/>
        <w:r w:rsidR="00706281" w:rsidRPr="00D00076">
          <w:rPr>
            <w:rStyle w:val="Hyperlink"/>
          </w:rPr>
          <w:t>IndustriALL</w:t>
        </w:r>
        <w:proofErr w:type="spellEnd"/>
        <w:r w:rsidR="00706281" w:rsidRPr="00D00076">
          <w:rPr>
            <w:rStyle w:val="Hyperlink"/>
          </w:rPr>
          <w:t xml:space="preserve"> and IF </w:t>
        </w:r>
        <w:proofErr w:type="spellStart"/>
        <w:r w:rsidR="00706281" w:rsidRPr="00D00076">
          <w:rPr>
            <w:rStyle w:val="Hyperlink"/>
          </w:rPr>
          <w:t>Metall</w:t>
        </w:r>
        <w:proofErr w:type="spellEnd"/>
      </w:hyperlink>
      <w:r w:rsidR="00706281" w:rsidRPr="00D00076">
        <w:t xml:space="preserve"> and </w:t>
      </w:r>
      <w:hyperlink r:id="rId15" w:history="1">
        <w:r w:rsidR="00706281" w:rsidRPr="00D00076">
          <w:rPr>
            <w:rStyle w:val="Hyperlink"/>
          </w:rPr>
          <w:t xml:space="preserve">Inditex and </w:t>
        </w:r>
        <w:proofErr w:type="spellStart"/>
        <w:r w:rsidR="00706281" w:rsidRPr="00D00076">
          <w:rPr>
            <w:rStyle w:val="Hyperlink"/>
          </w:rPr>
          <w:t>IndustriALL</w:t>
        </w:r>
        <w:proofErr w:type="spellEnd"/>
      </w:hyperlink>
      <w:r w:rsidR="00706281" w:rsidRPr="00D00076">
        <w:t>)</w:t>
      </w:r>
      <w:r w:rsidR="00706281">
        <w:t xml:space="preserve"> </w:t>
      </w:r>
      <w:r w:rsidR="00706281" w:rsidRPr="00D00076">
        <w:t>and enforceable labour rights agreements</w:t>
      </w:r>
      <w:r w:rsidR="00706281">
        <w:t xml:space="preserve"> which are legally binding</w:t>
      </w:r>
      <w:r w:rsidR="00A27932">
        <w:t xml:space="preserve"> and therefore stronger</w:t>
      </w:r>
      <w:r w:rsidR="000B3121">
        <w:t xml:space="preserve"> (e.g. </w:t>
      </w:r>
      <w:hyperlink r:id="rId16" w:history="1">
        <w:proofErr w:type="spellStart"/>
        <w:r w:rsidR="000B3121" w:rsidRPr="00D00076">
          <w:rPr>
            <w:rStyle w:val="Hyperlink"/>
          </w:rPr>
          <w:t>Lethoso</w:t>
        </w:r>
        <w:proofErr w:type="spellEnd"/>
        <w:r w:rsidR="000B3121" w:rsidRPr="00D00076">
          <w:rPr>
            <w:rStyle w:val="Hyperlink"/>
          </w:rPr>
          <w:t xml:space="preserve"> Agreement</w:t>
        </w:r>
      </w:hyperlink>
      <w:r w:rsidR="000B3121">
        <w:t>)</w:t>
      </w:r>
      <w:r w:rsidR="00706281">
        <w:t xml:space="preserve">, are </w:t>
      </w:r>
      <w:r w:rsidR="00C31007">
        <w:t>agreements that companies should be engaging in as part of their</w:t>
      </w:r>
      <w:r w:rsidR="00F16944">
        <w:t xml:space="preserve"> </w:t>
      </w:r>
      <w:r w:rsidR="00706281">
        <w:t>efforts to redress the imbalance of power between companies and supply chain workers</w:t>
      </w:r>
      <w:r w:rsidR="000B3121">
        <w:t>.</w:t>
      </w:r>
      <w:r w:rsidR="009D39F5">
        <w:rPr>
          <w:rStyle w:val="FootnoteReference"/>
        </w:rPr>
        <w:footnoteReference w:id="4"/>
      </w:r>
    </w:p>
    <w:p w14:paraId="5CCBFD93" w14:textId="5ED16F73" w:rsidR="00CC71D3" w:rsidRPr="00B900BA" w:rsidRDefault="00773C6C" w:rsidP="00D86C60">
      <w:pPr>
        <w:rPr>
          <w:rFonts w:cstheme="minorHAnsi"/>
        </w:rPr>
      </w:pPr>
      <w:r>
        <w:rPr>
          <w:rStyle w:val="normaltextrun"/>
          <w:rFonts w:ascii="Calibri" w:hAnsi="Calibri" w:cs="Calibri"/>
        </w:rPr>
        <w:t>In the 2021 KnowTheChain Apparel and Footwear Benchmark,</w:t>
      </w:r>
      <w:r w:rsidR="00B900BA">
        <w:rPr>
          <w:rStyle w:val="normaltextrun"/>
          <w:rFonts w:ascii="Calibri" w:hAnsi="Calibri" w:cs="Calibri"/>
        </w:rPr>
        <w:t xml:space="preserve"> </w:t>
      </w:r>
      <w:r w:rsidR="00CC71D3" w:rsidRPr="001E1649">
        <w:rPr>
          <w:rStyle w:val="normaltextrun"/>
          <w:rFonts w:ascii="Calibri" w:hAnsi="Calibri" w:cs="Calibri"/>
        </w:rPr>
        <w:t>43% of the companies disclosed working with unions to support freedom of association and collective bargaining in their supply chains. Yet only two companies (5%) could point to concrete examples of how they improved freedom of association in their supply chains, a critical prerequisite to tackling forced labo</w:t>
      </w:r>
      <w:r w:rsidR="001E1649" w:rsidRPr="001E1649">
        <w:rPr>
          <w:rStyle w:val="normaltextrun"/>
          <w:rFonts w:ascii="Calibri" w:hAnsi="Calibri" w:cs="Calibri"/>
        </w:rPr>
        <w:t>u</w:t>
      </w:r>
      <w:r w:rsidR="00CC71D3" w:rsidRPr="001E1649">
        <w:rPr>
          <w:rStyle w:val="normaltextrun"/>
          <w:rFonts w:ascii="Calibri" w:hAnsi="Calibri" w:cs="Calibri"/>
        </w:rPr>
        <w:t>r</w:t>
      </w:r>
      <w:r w:rsidR="00C20B47">
        <w:rPr>
          <w:rStyle w:val="normaltextrun"/>
          <w:rFonts w:ascii="Calibri" w:hAnsi="Calibri" w:cs="Calibri"/>
        </w:rPr>
        <w:t xml:space="preserve">, pointing to the need </w:t>
      </w:r>
      <w:r w:rsidR="00C31007">
        <w:rPr>
          <w:rStyle w:val="normaltextrun"/>
          <w:rFonts w:ascii="Calibri" w:hAnsi="Calibri" w:cs="Calibri"/>
        </w:rPr>
        <w:t>for companies to</w:t>
      </w:r>
      <w:r w:rsidR="00C20B47">
        <w:rPr>
          <w:rStyle w:val="normaltextrun"/>
          <w:rFonts w:ascii="Calibri" w:hAnsi="Calibri" w:cs="Calibri"/>
        </w:rPr>
        <w:t xml:space="preserve"> put in place formal and binding agreements between </w:t>
      </w:r>
      <w:r w:rsidR="00054201">
        <w:rPr>
          <w:rStyle w:val="normaltextrun"/>
          <w:rFonts w:ascii="Calibri" w:hAnsi="Calibri" w:cs="Calibri"/>
        </w:rPr>
        <w:t xml:space="preserve">companies and supply chain workers. </w:t>
      </w:r>
      <w:r w:rsidR="00CC71D3" w:rsidRPr="001E1649">
        <w:rPr>
          <w:rStyle w:val="eop"/>
          <w:rFonts w:ascii="Calibri" w:hAnsi="Calibri" w:cs="Calibri"/>
        </w:rPr>
        <w:t> </w:t>
      </w:r>
    </w:p>
    <w:p w14:paraId="1BEABBCC" w14:textId="394F6E53" w:rsidR="00670FEC" w:rsidRPr="00997054" w:rsidRDefault="00670FEC" w:rsidP="00670FEC">
      <w:pPr>
        <w:pStyle w:val="Heading2"/>
        <w:rPr>
          <w:rStyle w:val="eop"/>
        </w:rPr>
      </w:pPr>
      <w:r w:rsidRPr="00997054">
        <w:rPr>
          <w:rStyle w:val="eop"/>
        </w:rPr>
        <w:t>Objective</w:t>
      </w:r>
    </w:p>
    <w:p w14:paraId="6EA15F5D" w14:textId="6706C9B7" w:rsidR="00236E80" w:rsidRPr="00E83A12" w:rsidRDefault="00236E80" w:rsidP="00236E80">
      <w:r>
        <w:t>This phase of the engagement focus</w:t>
      </w:r>
      <w:r w:rsidR="0023508E">
        <w:t>es</w:t>
      </w:r>
      <w:r>
        <w:t xml:space="preserve"> on engag</w:t>
      </w:r>
      <w:r w:rsidR="001652ED">
        <w:t xml:space="preserve">ing </w:t>
      </w:r>
      <w:r w:rsidR="00002EF7">
        <w:t xml:space="preserve">KnowTheChain companies assessed in the 2018 </w:t>
      </w:r>
      <w:r w:rsidR="00DA07B1">
        <w:t xml:space="preserve">and 2021 </w:t>
      </w:r>
      <w:r w:rsidR="00002EF7">
        <w:t>benchmark</w:t>
      </w:r>
      <w:r w:rsidR="00507FAD">
        <w:t>s. The aim is to push</w:t>
      </w:r>
      <w:r w:rsidR="0023508E">
        <w:t xml:space="preserve"> co</w:t>
      </w:r>
      <w:r w:rsidR="005C2365">
        <w:t>mpanies to implement</w:t>
      </w:r>
      <w:r w:rsidR="00740617">
        <w:t xml:space="preserve"> </w:t>
      </w:r>
      <w:r w:rsidR="00CD33C6">
        <w:t>the</w:t>
      </w:r>
      <w:r w:rsidR="00B20C00">
        <w:t xml:space="preserve"> following:</w:t>
      </w:r>
    </w:p>
    <w:p w14:paraId="3FD45EE8" w14:textId="1809900F" w:rsidR="00236E80" w:rsidRDefault="00236E80" w:rsidP="00236E80">
      <w:pPr>
        <w:pStyle w:val="paragraph"/>
        <w:numPr>
          <w:ilvl w:val="0"/>
          <w:numId w:val="23"/>
        </w:numPr>
        <w:spacing w:before="0" w:beforeAutospacing="0" w:after="0" w:afterAutospacing="0"/>
        <w:ind w:left="1080" w:firstLine="0"/>
        <w:textAlignment w:val="baseline"/>
        <w:rPr>
          <w:rStyle w:val="eop"/>
          <w:rFonts w:ascii="Calibri" w:hAnsi="Calibri" w:cs="Calibri"/>
          <w:sz w:val="22"/>
          <w:szCs w:val="22"/>
        </w:rPr>
      </w:pPr>
      <w:r w:rsidRPr="004A70F8">
        <w:rPr>
          <w:rStyle w:val="normaltextrun"/>
          <w:rFonts w:ascii="Calibri" w:hAnsi="Calibri" w:cs="Calibri"/>
          <w:sz w:val="22"/>
          <w:szCs w:val="22"/>
        </w:rPr>
        <w:t>Worker-centric due diligence that</w:t>
      </w:r>
      <w:r w:rsidR="00C51DAB">
        <w:rPr>
          <w:rStyle w:val="normaltextrun"/>
          <w:rFonts w:ascii="Calibri" w:hAnsi="Calibri" w:cs="Calibri"/>
          <w:sz w:val="22"/>
          <w:szCs w:val="22"/>
        </w:rPr>
        <w:t xml:space="preserve"> is</w:t>
      </w:r>
      <w:r w:rsidR="00A4697B">
        <w:rPr>
          <w:rStyle w:val="normaltextrun"/>
          <w:rFonts w:ascii="Calibri" w:hAnsi="Calibri" w:cs="Calibri"/>
          <w:sz w:val="22"/>
          <w:szCs w:val="22"/>
        </w:rPr>
        <w:t xml:space="preserve"> </w:t>
      </w:r>
      <w:r w:rsidRPr="004A70F8">
        <w:rPr>
          <w:rStyle w:val="normaltextrun"/>
          <w:rFonts w:ascii="Calibri" w:hAnsi="Calibri" w:cs="Calibri"/>
          <w:sz w:val="22"/>
          <w:szCs w:val="22"/>
        </w:rPr>
        <w:t>built on responsible purchasing practices and worker power (e.g., freedom of association and collective bargaining and enforceable labour rights agreements</w:t>
      </w:r>
      <w:r>
        <w:rPr>
          <w:rStyle w:val="normaltextrun"/>
          <w:rFonts w:ascii="Calibri" w:hAnsi="Calibri" w:cs="Calibri"/>
          <w:sz w:val="22"/>
          <w:szCs w:val="22"/>
        </w:rPr>
        <w:t>) </w:t>
      </w:r>
      <w:r>
        <w:rPr>
          <w:rStyle w:val="eop"/>
          <w:rFonts w:ascii="Calibri" w:hAnsi="Calibri" w:cs="Calibri"/>
          <w:sz w:val="22"/>
          <w:szCs w:val="22"/>
        </w:rPr>
        <w:t> </w:t>
      </w:r>
    </w:p>
    <w:p w14:paraId="5149C851" w14:textId="150A462B" w:rsidR="00236E80" w:rsidRPr="000C5C71" w:rsidRDefault="008211AA" w:rsidP="00236E80">
      <w:pPr>
        <w:pStyle w:val="paragraph"/>
        <w:numPr>
          <w:ilvl w:val="0"/>
          <w:numId w:val="23"/>
        </w:numPr>
        <w:spacing w:before="0" w:beforeAutospacing="0" w:after="0" w:afterAutospacing="0"/>
        <w:ind w:left="1080" w:firstLine="0"/>
        <w:textAlignment w:val="baseline"/>
        <w:rPr>
          <w:rStyle w:val="eop"/>
          <w:rFonts w:ascii="Calibri" w:hAnsi="Calibri" w:cs="Calibri"/>
          <w:sz w:val="22"/>
          <w:szCs w:val="22"/>
        </w:rPr>
      </w:pPr>
      <w:r w:rsidRPr="008211AA">
        <w:rPr>
          <w:rStyle w:val="normaltextrun"/>
          <w:rFonts w:ascii="Calibri" w:hAnsi="Calibri" w:cs="Calibri"/>
          <w:color w:val="000000"/>
          <w:sz w:val="22"/>
          <w:szCs w:val="22"/>
          <w:shd w:val="clear" w:color="auto" w:fill="FFFFFF"/>
        </w:rPr>
        <w:t>R</w:t>
      </w:r>
      <w:r w:rsidR="007C3393" w:rsidRPr="008211AA">
        <w:rPr>
          <w:rStyle w:val="normaltextrun"/>
          <w:rFonts w:ascii="Calibri" w:hAnsi="Calibri" w:cs="Calibri"/>
          <w:color w:val="000000"/>
          <w:sz w:val="22"/>
          <w:szCs w:val="22"/>
          <w:shd w:val="clear" w:color="auto" w:fill="FFFFFF"/>
        </w:rPr>
        <w:t>emedy</w:t>
      </w:r>
      <w:r w:rsidRPr="008211AA">
        <w:rPr>
          <w:rStyle w:val="normaltextrun"/>
          <w:rFonts w:ascii="Calibri" w:hAnsi="Calibri" w:cs="Calibri"/>
          <w:color w:val="000000"/>
          <w:sz w:val="22"/>
          <w:szCs w:val="22"/>
          <w:shd w:val="clear" w:color="auto" w:fill="FFFFFF"/>
        </w:rPr>
        <w:t xml:space="preserve"> for workers</w:t>
      </w:r>
      <w:r w:rsidR="007C3393" w:rsidRPr="008211AA">
        <w:rPr>
          <w:rStyle w:val="normaltextrun"/>
          <w:rFonts w:ascii="Calibri" w:hAnsi="Calibri" w:cs="Calibri"/>
          <w:color w:val="000000"/>
          <w:sz w:val="22"/>
          <w:szCs w:val="22"/>
          <w:shd w:val="clear" w:color="auto" w:fill="FFFFFF"/>
        </w:rPr>
        <w:t>:</w:t>
      </w:r>
      <w:r w:rsidR="00236E80" w:rsidRPr="008211AA">
        <w:rPr>
          <w:rStyle w:val="normaltextrun"/>
          <w:rFonts w:ascii="Calibri" w:hAnsi="Calibri" w:cs="Calibri"/>
          <w:color w:val="000000"/>
          <w:sz w:val="22"/>
          <w:szCs w:val="22"/>
          <w:shd w:val="clear" w:color="auto" w:fill="FFFFFF"/>
        </w:rPr>
        <w:t xml:space="preserve"> Ensuring remedy outcomes for workers in cases of labour rights abuses (such</w:t>
      </w:r>
      <w:r w:rsidR="00236E80">
        <w:rPr>
          <w:rStyle w:val="normaltextrun"/>
          <w:rFonts w:ascii="Calibri" w:hAnsi="Calibri" w:cs="Calibri"/>
          <w:color w:val="000000"/>
          <w:sz w:val="22"/>
          <w:szCs w:val="22"/>
          <w:shd w:val="clear" w:color="auto" w:fill="FFFFFF"/>
        </w:rPr>
        <w:t xml:space="preserve"> as repayment of unpaid wages or reimbursement of recruitment fees)</w:t>
      </w:r>
      <w:r w:rsidR="00236E80">
        <w:rPr>
          <w:rStyle w:val="eop"/>
          <w:rFonts w:ascii="Calibri" w:hAnsi="Calibri" w:cs="Calibri"/>
          <w:color w:val="000000"/>
          <w:sz w:val="22"/>
          <w:szCs w:val="22"/>
          <w:shd w:val="clear" w:color="auto" w:fill="FFFFFF"/>
        </w:rPr>
        <w:t> </w:t>
      </w:r>
    </w:p>
    <w:p w14:paraId="7E03B0C5" w14:textId="77777777" w:rsidR="00236E80" w:rsidRDefault="00236E80" w:rsidP="006216FC">
      <w:pPr>
        <w:pStyle w:val="paragraph"/>
        <w:spacing w:before="0" w:beforeAutospacing="0" w:after="0" w:afterAutospacing="0"/>
        <w:textAlignment w:val="baseline"/>
        <w:rPr>
          <w:rFonts w:asciiTheme="minorHAnsi" w:hAnsiTheme="minorHAnsi" w:cstheme="minorHAnsi"/>
          <w:sz w:val="22"/>
          <w:szCs w:val="22"/>
        </w:rPr>
      </w:pPr>
    </w:p>
    <w:p w14:paraId="7B4DC74A" w14:textId="796C1CA7" w:rsidR="00972CDE" w:rsidRPr="00F17143" w:rsidRDefault="00A9104B" w:rsidP="006216FC">
      <w:pPr>
        <w:pStyle w:val="paragraph"/>
        <w:spacing w:before="0" w:beforeAutospacing="0" w:after="0" w:afterAutospacing="0"/>
        <w:textAlignment w:val="baseline"/>
        <w:rPr>
          <w:rStyle w:val="eop"/>
          <w:rFonts w:asciiTheme="minorHAnsi" w:hAnsiTheme="minorHAnsi" w:cstheme="minorHAnsi"/>
          <w:sz w:val="22"/>
          <w:szCs w:val="22"/>
        </w:rPr>
      </w:pPr>
      <w:r>
        <w:rPr>
          <w:rFonts w:asciiTheme="minorHAnsi" w:hAnsiTheme="minorHAnsi" w:cstheme="minorHAnsi"/>
          <w:sz w:val="22"/>
          <w:szCs w:val="22"/>
        </w:rPr>
        <w:t>The process</w:t>
      </w:r>
      <w:r w:rsidR="002B6D30" w:rsidRPr="00F17143">
        <w:rPr>
          <w:rFonts w:asciiTheme="minorHAnsi" w:hAnsiTheme="minorHAnsi" w:cstheme="minorHAnsi"/>
          <w:sz w:val="22"/>
          <w:szCs w:val="22"/>
        </w:rPr>
        <w:t xml:space="preserve"> will involve</w:t>
      </w:r>
      <w:r w:rsidR="0006248E" w:rsidRPr="00F17143">
        <w:rPr>
          <w:rFonts w:asciiTheme="minorHAnsi" w:hAnsiTheme="minorHAnsi" w:cstheme="minorHAnsi"/>
          <w:sz w:val="22"/>
          <w:szCs w:val="22"/>
        </w:rPr>
        <w:t xml:space="preserve"> investors</w:t>
      </w:r>
      <w:r w:rsidR="00FE42F1">
        <w:rPr>
          <w:rFonts w:asciiTheme="minorHAnsi" w:hAnsiTheme="minorHAnsi" w:cstheme="minorHAnsi"/>
          <w:sz w:val="22"/>
          <w:szCs w:val="22"/>
        </w:rPr>
        <w:t xml:space="preserve"> requesting information from and</w:t>
      </w:r>
      <w:r w:rsidR="0006248E" w:rsidRPr="00F17143">
        <w:rPr>
          <w:rFonts w:asciiTheme="minorHAnsi" w:hAnsiTheme="minorHAnsi" w:cstheme="minorHAnsi"/>
          <w:sz w:val="22"/>
          <w:szCs w:val="22"/>
        </w:rPr>
        <w:t xml:space="preserve"> setting measurable targets with companies </w:t>
      </w:r>
      <w:r w:rsidR="00967BC4" w:rsidRPr="00F17143">
        <w:rPr>
          <w:rFonts w:asciiTheme="minorHAnsi" w:hAnsiTheme="minorHAnsi" w:cstheme="minorHAnsi"/>
          <w:sz w:val="22"/>
          <w:szCs w:val="22"/>
        </w:rPr>
        <w:t xml:space="preserve">to </w:t>
      </w:r>
      <w:r w:rsidR="00B45217">
        <w:rPr>
          <w:rFonts w:asciiTheme="minorHAnsi" w:hAnsiTheme="minorHAnsi" w:cstheme="minorHAnsi"/>
          <w:sz w:val="22"/>
          <w:szCs w:val="22"/>
        </w:rPr>
        <w:t>af</w:t>
      </w:r>
      <w:r w:rsidR="00967BC4" w:rsidRPr="00F17143">
        <w:rPr>
          <w:rFonts w:asciiTheme="minorHAnsi" w:hAnsiTheme="minorHAnsi" w:cstheme="minorHAnsi"/>
          <w:sz w:val="22"/>
          <w:szCs w:val="22"/>
        </w:rPr>
        <w:t xml:space="preserve">fect the </w:t>
      </w:r>
      <w:r w:rsidR="00AD3707">
        <w:rPr>
          <w:rFonts w:asciiTheme="minorHAnsi" w:hAnsiTheme="minorHAnsi" w:cstheme="minorHAnsi"/>
          <w:sz w:val="22"/>
          <w:szCs w:val="22"/>
        </w:rPr>
        <w:t>sectoral improvements</w:t>
      </w:r>
      <w:r w:rsidR="00967BC4" w:rsidRPr="00F17143">
        <w:rPr>
          <w:rFonts w:asciiTheme="minorHAnsi" w:hAnsiTheme="minorHAnsi" w:cstheme="minorHAnsi"/>
          <w:sz w:val="22"/>
          <w:szCs w:val="22"/>
        </w:rPr>
        <w:t xml:space="preserve"> we need to see in the aftermath of the pandemic</w:t>
      </w:r>
      <w:r w:rsidR="003A445E">
        <w:rPr>
          <w:rFonts w:asciiTheme="minorHAnsi" w:hAnsiTheme="minorHAnsi" w:cstheme="minorHAnsi"/>
          <w:sz w:val="22"/>
          <w:szCs w:val="22"/>
        </w:rPr>
        <w:t xml:space="preserve"> and improve outcomes for workers</w:t>
      </w:r>
      <w:r w:rsidR="007D6FE5">
        <w:rPr>
          <w:rFonts w:asciiTheme="minorHAnsi" w:hAnsiTheme="minorHAnsi" w:cstheme="minorHAnsi"/>
          <w:sz w:val="22"/>
          <w:szCs w:val="22"/>
        </w:rPr>
        <w:t>.</w:t>
      </w:r>
    </w:p>
    <w:p w14:paraId="7B64C494" w14:textId="77777777" w:rsidR="00972CDE" w:rsidRPr="00F17143" w:rsidRDefault="00972CDE" w:rsidP="00670FEC">
      <w:pPr>
        <w:pStyle w:val="paragraph"/>
        <w:spacing w:before="0" w:beforeAutospacing="0" w:after="0" w:afterAutospacing="0"/>
        <w:textAlignment w:val="baseline"/>
        <w:rPr>
          <w:rStyle w:val="eop"/>
          <w:rFonts w:ascii="Calibri" w:hAnsi="Calibri" w:cs="Calibri"/>
          <w:color w:val="FF0000"/>
          <w:sz w:val="22"/>
          <w:szCs w:val="22"/>
        </w:rPr>
      </w:pPr>
    </w:p>
    <w:p w14:paraId="66F576FF" w14:textId="4D265448" w:rsidR="00670FEC" w:rsidRPr="00F17143" w:rsidRDefault="00670FEC" w:rsidP="00670FEC">
      <w:pPr>
        <w:pStyle w:val="paragraph"/>
        <w:spacing w:before="0" w:beforeAutospacing="0" w:after="0" w:afterAutospacing="0"/>
        <w:textAlignment w:val="baseline"/>
        <w:rPr>
          <w:rStyle w:val="eop"/>
          <w:rFonts w:ascii="Calibri" w:hAnsi="Calibri" w:cs="Calibri"/>
          <w:sz w:val="22"/>
          <w:szCs w:val="22"/>
        </w:rPr>
      </w:pPr>
      <w:r w:rsidRPr="00F17143">
        <w:rPr>
          <w:rStyle w:val="eop"/>
          <w:rFonts w:ascii="Calibri" w:hAnsi="Calibri" w:cs="Calibri"/>
          <w:sz w:val="22"/>
          <w:szCs w:val="22"/>
        </w:rPr>
        <w:t>K</w:t>
      </w:r>
      <w:r w:rsidR="00263CE8">
        <w:rPr>
          <w:rStyle w:val="eop"/>
          <w:rFonts w:ascii="Calibri" w:hAnsi="Calibri" w:cs="Calibri"/>
          <w:sz w:val="22"/>
          <w:szCs w:val="22"/>
        </w:rPr>
        <w:t>nowTheChain</w:t>
      </w:r>
      <w:r w:rsidRPr="00F17143">
        <w:rPr>
          <w:rStyle w:val="eop"/>
          <w:rFonts w:ascii="Calibri" w:hAnsi="Calibri" w:cs="Calibri"/>
          <w:sz w:val="22"/>
          <w:szCs w:val="22"/>
        </w:rPr>
        <w:t xml:space="preserve"> data will be a primary source of evidence to inform investor engagement and </w:t>
      </w:r>
      <w:r w:rsidR="00105727">
        <w:rPr>
          <w:rStyle w:val="eop"/>
          <w:rFonts w:ascii="Calibri" w:hAnsi="Calibri" w:cs="Calibri"/>
          <w:sz w:val="22"/>
          <w:szCs w:val="22"/>
        </w:rPr>
        <w:t>set appropriate KPIs</w:t>
      </w:r>
      <w:r w:rsidR="00410E00">
        <w:rPr>
          <w:rStyle w:val="eop"/>
          <w:rFonts w:ascii="Calibri" w:hAnsi="Calibri" w:cs="Calibri"/>
          <w:sz w:val="22"/>
          <w:szCs w:val="22"/>
        </w:rPr>
        <w:t>.</w:t>
      </w:r>
      <w:r w:rsidR="00105727">
        <w:rPr>
          <w:rStyle w:val="eop"/>
          <w:rFonts w:ascii="Calibri" w:hAnsi="Calibri" w:cs="Calibri"/>
          <w:sz w:val="22"/>
          <w:szCs w:val="22"/>
        </w:rPr>
        <w:t xml:space="preserve"> </w:t>
      </w:r>
      <w:r w:rsidR="000113FD" w:rsidRPr="00F17143">
        <w:rPr>
          <w:rStyle w:val="eop"/>
          <w:rFonts w:ascii="Calibri" w:hAnsi="Calibri" w:cs="Calibri"/>
          <w:sz w:val="22"/>
          <w:szCs w:val="22"/>
        </w:rPr>
        <w:t xml:space="preserve">Progress can be tracked </w:t>
      </w:r>
      <w:r w:rsidR="00105727">
        <w:rPr>
          <w:rStyle w:val="eop"/>
          <w:rFonts w:ascii="Calibri" w:hAnsi="Calibri" w:cs="Calibri"/>
          <w:sz w:val="22"/>
          <w:szCs w:val="22"/>
        </w:rPr>
        <w:t xml:space="preserve">between benchmark cycles (every two years), with the initial engagement using </w:t>
      </w:r>
      <w:r w:rsidR="000808A3">
        <w:rPr>
          <w:rStyle w:val="eop"/>
          <w:rFonts w:ascii="Calibri" w:hAnsi="Calibri" w:cs="Calibri"/>
          <w:sz w:val="22"/>
          <w:szCs w:val="22"/>
        </w:rPr>
        <w:t xml:space="preserve">the </w:t>
      </w:r>
      <w:r w:rsidR="00105727">
        <w:rPr>
          <w:rStyle w:val="eop"/>
          <w:rFonts w:ascii="Calibri" w:hAnsi="Calibri" w:cs="Calibri"/>
          <w:sz w:val="22"/>
          <w:szCs w:val="22"/>
        </w:rPr>
        <w:t xml:space="preserve">2021 </w:t>
      </w:r>
      <w:r w:rsidR="000808A3">
        <w:rPr>
          <w:rStyle w:val="eop"/>
          <w:rFonts w:ascii="Calibri" w:hAnsi="Calibri" w:cs="Calibri"/>
          <w:sz w:val="22"/>
          <w:szCs w:val="22"/>
        </w:rPr>
        <w:t xml:space="preserve">benchmark </w:t>
      </w:r>
      <w:r w:rsidR="00105727">
        <w:rPr>
          <w:rStyle w:val="eop"/>
          <w:rFonts w:ascii="Calibri" w:hAnsi="Calibri" w:cs="Calibri"/>
          <w:sz w:val="22"/>
          <w:szCs w:val="22"/>
        </w:rPr>
        <w:t xml:space="preserve">results as a baseline. </w:t>
      </w:r>
      <w:r w:rsidR="00452AB3">
        <w:rPr>
          <w:rStyle w:val="eop"/>
          <w:rFonts w:ascii="Calibri" w:hAnsi="Calibri" w:cs="Calibri"/>
          <w:sz w:val="22"/>
          <w:szCs w:val="22"/>
        </w:rPr>
        <w:t>Company responses will be fed back to the group as appropriate</w:t>
      </w:r>
      <w:r w:rsidR="000808A3">
        <w:rPr>
          <w:rStyle w:val="eop"/>
          <w:rFonts w:ascii="Calibri" w:hAnsi="Calibri" w:cs="Calibri"/>
          <w:sz w:val="22"/>
          <w:szCs w:val="22"/>
        </w:rPr>
        <w:t xml:space="preserve"> and next steps agreed upon by</w:t>
      </w:r>
      <w:r w:rsidR="00E402B8">
        <w:rPr>
          <w:rStyle w:val="eop"/>
          <w:rFonts w:ascii="Calibri" w:hAnsi="Calibri" w:cs="Calibri"/>
          <w:sz w:val="22"/>
          <w:szCs w:val="22"/>
        </w:rPr>
        <w:t xml:space="preserve"> the</w:t>
      </w:r>
      <w:r w:rsidR="000808A3">
        <w:rPr>
          <w:rStyle w:val="eop"/>
          <w:rFonts w:ascii="Calibri" w:hAnsi="Calibri" w:cs="Calibri"/>
          <w:sz w:val="22"/>
          <w:szCs w:val="22"/>
        </w:rPr>
        <w:t xml:space="preserve"> lead investor and/ or the wider group. </w:t>
      </w:r>
    </w:p>
    <w:p w14:paraId="71E30E8B" w14:textId="77777777" w:rsidR="00670FEC" w:rsidRPr="00F17143" w:rsidRDefault="00670FEC" w:rsidP="00670FEC">
      <w:pPr>
        <w:pStyle w:val="paragraph"/>
        <w:spacing w:before="0" w:beforeAutospacing="0" w:after="0" w:afterAutospacing="0"/>
        <w:textAlignment w:val="baseline"/>
        <w:rPr>
          <w:rStyle w:val="eop"/>
          <w:rFonts w:ascii="Calibri" w:hAnsi="Calibri" w:cs="Calibri"/>
          <w:sz w:val="22"/>
          <w:szCs w:val="22"/>
        </w:rPr>
      </w:pPr>
    </w:p>
    <w:p w14:paraId="69E8A2F4" w14:textId="34F583CB" w:rsidR="00156642" w:rsidRPr="005F5B2A" w:rsidRDefault="00670FEC" w:rsidP="00670FEC">
      <w:pPr>
        <w:pStyle w:val="paragraph"/>
        <w:spacing w:before="0" w:beforeAutospacing="0" w:after="0" w:afterAutospacing="0"/>
        <w:textAlignment w:val="baseline"/>
        <w:rPr>
          <w:rStyle w:val="eop"/>
          <w:rFonts w:ascii="Calibri" w:hAnsi="Calibri" w:cs="Calibri"/>
          <w:sz w:val="22"/>
          <w:szCs w:val="22"/>
        </w:rPr>
      </w:pPr>
      <w:r w:rsidRPr="00F17143">
        <w:rPr>
          <w:rStyle w:val="eop"/>
          <w:rFonts w:ascii="Calibri" w:hAnsi="Calibri" w:cs="Calibri"/>
          <w:sz w:val="22"/>
          <w:szCs w:val="22"/>
        </w:rPr>
        <w:t>ICCR will facilitate, convene</w:t>
      </w:r>
      <w:r w:rsidR="00263CE8">
        <w:rPr>
          <w:rStyle w:val="eop"/>
          <w:rFonts w:ascii="Calibri" w:hAnsi="Calibri" w:cs="Calibri"/>
          <w:sz w:val="22"/>
          <w:szCs w:val="22"/>
        </w:rPr>
        <w:t>,</w:t>
      </w:r>
      <w:r w:rsidRPr="00F17143">
        <w:rPr>
          <w:rStyle w:val="eop"/>
          <w:rFonts w:ascii="Calibri" w:hAnsi="Calibri" w:cs="Calibri"/>
          <w:sz w:val="22"/>
          <w:szCs w:val="22"/>
        </w:rPr>
        <w:t xml:space="preserve"> and provide administrative support for the engagements with members of this investor group and collaborate with K</w:t>
      </w:r>
      <w:r w:rsidR="00300B4C">
        <w:rPr>
          <w:rStyle w:val="eop"/>
          <w:rFonts w:ascii="Calibri" w:hAnsi="Calibri" w:cs="Calibri"/>
          <w:sz w:val="22"/>
          <w:szCs w:val="22"/>
        </w:rPr>
        <w:t>nowTheChain</w:t>
      </w:r>
      <w:r w:rsidRPr="00F17143">
        <w:rPr>
          <w:rStyle w:val="eop"/>
          <w:rFonts w:ascii="Calibri" w:hAnsi="Calibri" w:cs="Calibri"/>
          <w:sz w:val="22"/>
          <w:szCs w:val="22"/>
        </w:rPr>
        <w:t xml:space="preserve"> in strategy development and execution.  </w:t>
      </w:r>
    </w:p>
    <w:p w14:paraId="5DDDE762" w14:textId="77777777" w:rsidR="00816CDC" w:rsidRDefault="00816CDC" w:rsidP="00DB7E13">
      <w:pPr>
        <w:pStyle w:val="paragraph"/>
        <w:spacing w:before="0" w:beforeAutospacing="0" w:after="0" w:afterAutospacing="0"/>
        <w:textAlignment w:val="baseline"/>
        <w:rPr>
          <w:rStyle w:val="normaltextrun"/>
          <w:rFonts w:ascii="Calibri" w:hAnsi="Calibri" w:cs="Calibri"/>
          <w:b/>
          <w:bCs/>
          <w:sz w:val="22"/>
          <w:szCs w:val="22"/>
        </w:rPr>
      </w:pPr>
    </w:p>
    <w:p w14:paraId="13EE6D2C" w14:textId="172B23C3" w:rsidR="002E4EAE" w:rsidRPr="00565CD3" w:rsidRDefault="00816CDC" w:rsidP="00706110">
      <w:pPr>
        <w:pStyle w:val="Heading3"/>
        <w:rPr>
          <w:sz w:val="26"/>
          <w:szCs w:val="26"/>
        </w:rPr>
      </w:pPr>
      <w:r w:rsidRPr="00565CD3">
        <w:rPr>
          <w:rStyle w:val="normaltextrun"/>
          <w:sz w:val="26"/>
          <w:szCs w:val="26"/>
        </w:rPr>
        <w:t>Engagement Questions</w:t>
      </w:r>
    </w:p>
    <w:p w14:paraId="6222CEE0" w14:textId="55B5B904" w:rsidR="00C4557E" w:rsidRDefault="00CA5961" w:rsidP="001E6D69">
      <w:r>
        <w:t xml:space="preserve">The engagement questions below </w:t>
      </w:r>
      <w:r w:rsidR="002B0630">
        <w:t xml:space="preserve">will </w:t>
      </w:r>
      <w:r w:rsidR="004B7558">
        <w:t>form</w:t>
      </w:r>
      <w:r w:rsidR="008C4569">
        <w:t xml:space="preserve"> the central asks of the companies over the next phase</w:t>
      </w:r>
      <w:r w:rsidR="00A81283">
        <w:t xml:space="preserve"> and will be integrated into the initial letter from</w:t>
      </w:r>
      <w:r w:rsidR="005B1B88">
        <w:t xml:space="preserve"> lead</w:t>
      </w:r>
      <w:r w:rsidR="00A81283">
        <w:t xml:space="preserve"> investor</w:t>
      </w:r>
      <w:r w:rsidR="004B7558">
        <w:t>s</w:t>
      </w:r>
      <w:r w:rsidR="00A81283">
        <w:t xml:space="preserve"> to the </w:t>
      </w:r>
      <w:r w:rsidR="00B57687">
        <w:t xml:space="preserve">target </w:t>
      </w:r>
      <w:r w:rsidR="00A81283">
        <w:t>compa</w:t>
      </w:r>
      <w:r w:rsidR="00B57687">
        <w:t>nies</w:t>
      </w:r>
      <w:r w:rsidR="00ED5A76">
        <w:t>. They will form the</w:t>
      </w:r>
      <w:r w:rsidR="00A81283">
        <w:t xml:space="preserve"> central aspect of the engagement calls to follow </w:t>
      </w:r>
      <w:r w:rsidR="002E4EAE">
        <w:t xml:space="preserve">with the aim of setting targets with companies. </w:t>
      </w:r>
    </w:p>
    <w:p w14:paraId="140A4D16" w14:textId="77777777" w:rsidR="00816CDC" w:rsidRDefault="00816CDC" w:rsidP="00DB7E13">
      <w:pPr>
        <w:pStyle w:val="paragraph"/>
        <w:spacing w:before="0" w:beforeAutospacing="0" w:after="0" w:afterAutospacing="0"/>
        <w:textAlignment w:val="baseline"/>
        <w:rPr>
          <w:rFonts w:ascii="Segoe UI" w:hAnsi="Segoe UI" w:cs="Segoe UI"/>
          <w:sz w:val="18"/>
          <w:szCs w:val="18"/>
        </w:rPr>
      </w:pPr>
    </w:p>
    <w:p w14:paraId="06D55F71" w14:textId="77777777" w:rsidR="00DB7E13" w:rsidRDefault="00DB7E13" w:rsidP="00E10CBF">
      <w:pPr>
        <w:pStyle w:val="paragraph"/>
        <w:numPr>
          <w:ilvl w:val="0"/>
          <w:numId w:val="16"/>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u w:val="single"/>
        </w:rPr>
        <w:t>Due Diligence</w:t>
      </w:r>
      <w:r>
        <w:rPr>
          <w:rStyle w:val="eop"/>
          <w:rFonts w:ascii="Calibri" w:hAnsi="Calibri" w:cs="Calibri"/>
          <w:sz w:val="22"/>
          <w:szCs w:val="22"/>
        </w:rPr>
        <w:t> </w:t>
      </w:r>
    </w:p>
    <w:p w14:paraId="42BB1C9C" w14:textId="77777777" w:rsidR="00DB7E13" w:rsidRDefault="00DB7E13" w:rsidP="00DB7E13">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sz w:val="22"/>
          <w:szCs w:val="22"/>
        </w:rPr>
        <w:lastRenderedPageBreak/>
        <w:t>Responsible purchasing practices: </w:t>
      </w:r>
      <w:r>
        <w:rPr>
          <w:rStyle w:val="eop"/>
          <w:rFonts w:ascii="Calibri" w:hAnsi="Calibri" w:cs="Calibri"/>
          <w:sz w:val="22"/>
          <w:szCs w:val="22"/>
        </w:rPr>
        <w:t> </w:t>
      </w:r>
    </w:p>
    <w:p w14:paraId="1F456D1B" w14:textId="67B4F8BE" w:rsidR="00DB7E13" w:rsidRDefault="00DB7E13" w:rsidP="00E10CBF">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 xml:space="preserve">Question -&gt; </w:t>
      </w:r>
      <w:r w:rsidRPr="002E428B">
        <w:rPr>
          <w:rStyle w:val="normaltextrun"/>
          <w:rFonts w:ascii="Calibri" w:hAnsi="Calibri" w:cs="Calibri"/>
          <w:sz w:val="22"/>
          <w:szCs w:val="22"/>
        </w:rPr>
        <w:t>Has the company committed</w:t>
      </w:r>
      <w:r>
        <w:rPr>
          <w:rStyle w:val="normaltextrun"/>
          <w:rFonts w:ascii="Calibri" w:hAnsi="Calibri" w:cs="Calibri"/>
          <w:sz w:val="22"/>
          <w:szCs w:val="22"/>
        </w:rPr>
        <w:t xml:space="preserve"> to responsible </w:t>
      </w:r>
      <w:r w:rsidR="00ED5A76">
        <w:rPr>
          <w:rStyle w:val="normaltextrun"/>
          <w:rFonts w:ascii="Calibri" w:hAnsi="Calibri" w:cs="Calibri"/>
          <w:sz w:val="22"/>
          <w:szCs w:val="22"/>
        </w:rPr>
        <w:t>purchasing</w:t>
      </w:r>
      <w:r>
        <w:rPr>
          <w:rStyle w:val="normaltextrun"/>
          <w:rFonts w:ascii="Calibri" w:hAnsi="Calibri" w:cs="Calibri"/>
          <w:sz w:val="22"/>
          <w:szCs w:val="22"/>
        </w:rPr>
        <w:t xml:space="preserve"> practices in its contracts with suppliers? </w:t>
      </w:r>
      <w:r>
        <w:rPr>
          <w:rStyle w:val="eop"/>
          <w:rFonts w:ascii="Calibri" w:hAnsi="Calibri" w:cs="Calibri"/>
          <w:sz w:val="22"/>
          <w:szCs w:val="22"/>
        </w:rPr>
        <w:t> </w:t>
      </w:r>
    </w:p>
    <w:p w14:paraId="457775E2" w14:textId="074B5F35" w:rsidR="00DB7E13" w:rsidRDefault="00DB7E13" w:rsidP="00E10CBF">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Question -&gt;</w:t>
      </w:r>
      <w:r>
        <w:rPr>
          <w:rStyle w:val="normaltextrun"/>
          <w:rFonts w:ascii="Calibri" w:hAnsi="Calibri" w:cs="Calibri"/>
          <w:sz w:val="22"/>
          <w:szCs w:val="22"/>
        </w:rPr>
        <w:t xml:space="preserve"> Can </w:t>
      </w:r>
      <w:r w:rsidR="008B0C26">
        <w:rPr>
          <w:rStyle w:val="normaltextrun"/>
          <w:rFonts w:ascii="Calibri" w:hAnsi="Calibri" w:cs="Calibri"/>
          <w:sz w:val="22"/>
          <w:szCs w:val="22"/>
        </w:rPr>
        <w:t>the company</w:t>
      </w:r>
      <w:r>
        <w:rPr>
          <w:rStyle w:val="normaltextrun"/>
          <w:rFonts w:ascii="Calibri" w:hAnsi="Calibri" w:cs="Calibri"/>
          <w:sz w:val="22"/>
          <w:szCs w:val="22"/>
        </w:rPr>
        <w:t xml:space="preserve"> describe how it has adopted responsible purchasing practices in the first tier of its supply chains, which includes planning and forecasting, and how it ring-fences labour costs?</w:t>
      </w:r>
    </w:p>
    <w:p w14:paraId="12F2271C" w14:textId="77777777" w:rsidR="00DB7E13" w:rsidRDefault="00DB7E13" w:rsidP="00DB7E13">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sz w:val="22"/>
          <w:szCs w:val="22"/>
        </w:rPr>
        <w:t>Freedom of association </w:t>
      </w:r>
      <w:r>
        <w:rPr>
          <w:rStyle w:val="eop"/>
          <w:rFonts w:ascii="Calibri" w:hAnsi="Calibri" w:cs="Calibri"/>
          <w:sz w:val="22"/>
          <w:szCs w:val="22"/>
        </w:rPr>
        <w:t> </w:t>
      </w:r>
    </w:p>
    <w:p w14:paraId="6ED32600" w14:textId="77777777" w:rsidR="00DB7E13" w:rsidRPr="00DB7405" w:rsidRDefault="00DB7E13" w:rsidP="00E10CBF">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Question</w:t>
      </w:r>
      <w:r w:rsidRPr="00DB7405">
        <w:rPr>
          <w:rStyle w:val="normaltextrun"/>
          <w:rFonts w:ascii="Calibri" w:hAnsi="Calibri" w:cs="Calibri"/>
          <w:b/>
          <w:bCs/>
          <w:sz w:val="22"/>
          <w:szCs w:val="22"/>
        </w:rPr>
        <w:t xml:space="preserve">-&gt; </w:t>
      </w:r>
      <w:r w:rsidRPr="00DB7405">
        <w:rPr>
          <w:rStyle w:val="normaltextrun"/>
          <w:rFonts w:ascii="Calibri" w:hAnsi="Calibri" w:cs="Calibri"/>
          <w:sz w:val="22"/>
          <w:szCs w:val="22"/>
        </w:rPr>
        <w:t>Does the company work with independent local or global trade unions and/or other legitimate worker representatives to improve freedom of association in its supply chains?</w:t>
      </w:r>
      <w:r w:rsidRPr="00DB7405">
        <w:rPr>
          <w:rStyle w:val="eop"/>
          <w:rFonts w:ascii="Calibri" w:hAnsi="Calibri" w:cs="Calibri"/>
          <w:sz w:val="22"/>
          <w:szCs w:val="22"/>
        </w:rPr>
        <w:t> </w:t>
      </w:r>
    </w:p>
    <w:p w14:paraId="207B9E90" w14:textId="77777777" w:rsidR="009C5CF1" w:rsidRDefault="00DB7E13" w:rsidP="00E10CBF">
      <w:pPr>
        <w:pStyle w:val="paragraph"/>
        <w:numPr>
          <w:ilvl w:val="0"/>
          <w:numId w:val="20"/>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Question -&gt;</w:t>
      </w:r>
      <w:r>
        <w:rPr>
          <w:rStyle w:val="normaltextrun"/>
          <w:rFonts w:ascii="Calibri" w:hAnsi="Calibri" w:cs="Calibri"/>
          <w:sz w:val="22"/>
          <w:szCs w:val="22"/>
        </w:rPr>
        <w:t xml:space="preserve"> Is the company party to a global framework agreement that covers its supply chains and/or an enforceable supply chain labour rights agreement with trade unions or worker organisations?</w:t>
      </w:r>
    </w:p>
    <w:p w14:paraId="319D2614" w14:textId="77777777" w:rsidR="009C5CF1" w:rsidRDefault="009C5CF1" w:rsidP="009C5CF1">
      <w:pPr>
        <w:pStyle w:val="paragraph"/>
        <w:spacing w:before="0" w:beforeAutospacing="0" w:after="0" w:afterAutospacing="0"/>
        <w:textAlignment w:val="baseline"/>
        <w:rPr>
          <w:rStyle w:val="normaltextrun"/>
          <w:rFonts w:ascii="Calibri" w:hAnsi="Calibri" w:cs="Calibri"/>
          <w:b/>
          <w:bCs/>
          <w:sz w:val="22"/>
          <w:szCs w:val="22"/>
          <w:u w:val="single"/>
        </w:rPr>
      </w:pPr>
    </w:p>
    <w:p w14:paraId="417EC192" w14:textId="598A00DA" w:rsidR="009C5CF1" w:rsidRPr="00716815" w:rsidRDefault="009C5CF1" w:rsidP="00716815">
      <w:pPr>
        <w:pStyle w:val="paragraph"/>
        <w:numPr>
          <w:ilvl w:val="0"/>
          <w:numId w:val="16"/>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u w:val="single"/>
        </w:rPr>
        <w:t>Remedy</w:t>
      </w:r>
      <w:r w:rsidRPr="00716815">
        <w:rPr>
          <w:rStyle w:val="eop"/>
          <w:rFonts w:ascii="Calibri" w:hAnsi="Calibri" w:cs="Calibri"/>
          <w:sz w:val="22"/>
          <w:szCs w:val="22"/>
        </w:rPr>
        <w:t> </w:t>
      </w:r>
    </w:p>
    <w:p w14:paraId="443D57EE" w14:textId="53DC5438" w:rsidR="00093469" w:rsidRPr="00757D58" w:rsidRDefault="009C5CF1" w:rsidP="00757D58">
      <w:pPr>
        <w:pStyle w:val="paragraph"/>
        <w:numPr>
          <w:ilvl w:val="0"/>
          <w:numId w:val="24"/>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 xml:space="preserve">Question-&gt; </w:t>
      </w:r>
      <w:r w:rsidR="0072599A">
        <w:rPr>
          <w:rStyle w:val="cf01"/>
        </w:rPr>
        <w:t>H</w:t>
      </w:r>
      <w:r w:rsidR="007C3393">
        <w:rPr>
          <w:rStyle w:val="cf01"/>
        </w:rPr>
        <w:t>as the company committed to prioritising human rights remediation over traditional forms of remediation in contracts with suppliers?</w:t>
      </w:r>
      <w:r w:rsidR="00F061F8">
        <w:rPr>
          <w:rStyle w:val="cf01"/>
        </w:rPr>
        <w:t xml:space="preserve"> </w:t>
      </w:r>
      <w:proofErr w:type="gramStart"/>
      <w:r w:rsidR="004629F4">
        <w:rPr>
          <w:rStyle w:val="cf01"/>
        </w:rPr>
        <w:t>E.g.</w:t>
      </w:r>
      <w:proofErr w:type="gramEnd"/>
      <w:r w:rsidR="004629F4">
        <w:rPr>
          <w:rStyle w:val="cf01"/>
        </w:rPr>
        <w:t xml:space="preserve"> financial or non-financial compensation / remedy which restores the affected persons to the situation they would have been in had the adverse human rights impacts not occurred. </w:t>
      </w:r>
    </w:p>
    <w:p w14:paraId="250524CB" w14:textId="77777777" w:rsidR="00B41E0D" w:rsidRDefault="00B41E0D" w:rsidP="00DB7E13">
      <w:pPr>
        <w:pStyle w:val="paragraph"/>
        <w:spacing w:before="0" w:beforeAutospacing="0" w:after="0" w:afterAutospacing="0"/>
        <w:textAlignment w:val="baseline"/>
        <w:rPr>
          <w:rStyle w:val="normaltextrun"/>
          <w:rFonts w:ascii="Calibri" w:hAnsi="Calibri" w:cs="Calibri"/>
          <w:b/>
          <w:bCs/>
          <w:sz w:val="22"/>
          <w:szCs w:val="22"/>
        </w:rPr>
      </w:pPr>
    </w:p>
    <w:p w14:paraId="4F9B1148" w14:textId="07A9CA77" w:rsidR="006512E1" w:rsidRDefault="00DB7E13" w:rsidP="008E51C8">
      <w:pPr>
        <w:pStyle w:val="Heading2"/>
        <w:rPr>
          <w:rStyle w:val="normaltextrun"/>
        </w:rPr>
      </w:pPr>
      <w:r w:rsidRPr="008E51C8">
        <w:rPr>
          <w:rStyle w:val="normaltextrun"/>
        </w:rPr>
        <w:t>Timeline</w:t>
      </w:r>
    </w:p>
    <w:p w14:paraId="1ACE6C12" w14:textId="0C324B0F" w:rsidR="00D901B5" w:rsidRDefault="00C07925" w:rsidP="0031507E">
      <w:r>
        <w:t xml:space="preserve">Members will be invited to join the Initiative from </w:t>
      </w:r>
      <w:r w:rsidR="005C7FB6">
        <w:t xml:space="preserve">October </w:t>
      </w:r>
      <w:r>
        <w:t xml:space="preserve">2022 but may </w:t>
      </w:r>
      <w:r w:rsidR="003C2C53">
        <w:t>also join</w:t>
      </w:r>
      <w:r>
        <w:t xml:space="preserve"> on a rolling basis where opportunities are available. </w:t>
      </w:r>
    </w:p>
    <w:p w14:paraId="18B34FA9" w14:textId="77777777" w:rsidR="00E65F6C" w:rsidRDefault="0031507E" w:rsidP="00236DD1">
      <w:pPr>
        <w:pStyle w:val="ListParagraph"/>
        <w:numPr>
          <w:ilvl w:val="0"/>
          <w:numId w:val="29"/>
        </w:numPr>
        <w:rPr>
          <w:rStyle w:val="normaltextrun"/>
          <w:rFonts w:ascii="Calibri" w:hAnsi="Calibri" w:cs="Calibri"/>
          <w:b/>
          <w:bCs/>
        </w:rPr>
      </w:pPr>
      <w:r w:rsidRPr="00E65F6C">
        <w:rPr>
          <w:b/>
          <w:bCs/>
        </w:rPr>
        <w:t>October 2022</w:t>
      </w:r>
      <w:r>
        <w:t>: Kick-off engagement call with wider</w:t>
      </w:r>
      <w:r w:rsidR="007439FB">
        <w:t xml:space="preserve"> investor group, composed of </w:t>
      </w:r>
      <w:r>
        <w:t>ICCR/ PRI</w:t>
      </w:r>
      <w:r w:rsidR="007439FB">
        <w:t>/ K</w:t>
      </w:r>
      <w:r w:rsidR="003C2C53">
        <w:t>nowTheChain Investor Statement</w:t>
      </w:r>
      <w:r w:rsidR="007439FB">
        <w:t xml:space="preserve"> signatories </w:t>
      </w:r>
      <w:r>
        <w:t>to discus</w:t>
      </w:r>
      <w:r w:rsidR="007439FB">
        <w:t>s the group objective and associated engagement question</w:t>
      </w:r>
      <w:r w:rsidR="001779BC">
        <w:t>s</w:t>
      </w:r>
      <w:r w:rsidR="007439FB">
        <w:t xml:space="preserve"> and expectations of investors. During this meeting, or shortly thereafter lead and support investors could be identified for each company. At this time K</w:t>
      </w:r>
      <w:r w:rsidR="001779BC">
        <w:t>nowTheChain will coordinate with the ICCR to</w:t>
      </w:r>
      <w:r w:rsidR="007439FB">
        <w:t xml:space="preserve"> circulate a shared </w:t>
      </w:r>
      <w:r w:rsidR="001779BC">
        <w:t>G</w:t>
      </w:r>
      <w:r w:rsidR="007439FB">
        <w:t>oogle doc</w:t>
      </w:r>
      <w:r w:rsidR="00E65F6C">
        <w:t>. in which</w:t>
      </w:r>
      <w:r w:rsidR="007439FB">
        <w:t xml:space="preserve"> investors could sign up to lead or support a company engagement.</w:t>
      </w:r>
      <w:r w:rsidR="000A6B3E">
        <w:t xml:space="preserve"> This will be a good opportunity for investors who have led engagements before to provide feedback and/ or updates on previous engagements. It will also be an opportunity to decide whether we continue with previous engagements or start afresh.</w:t>
      </w:r>
      <w:r w:rsidR="006512E1" w:rsidRPr="00E65F6C">
        <w:rPr>
          <w:rStyle w:val="normaltextrun"/>
          <w:rFonts w:ascii="Calibri" w:hAnsi="Calibri" w:cs="Calibri"/>
          <w:b/>
          <w:bCs/>
        </w:rPr>
        <w:t xml:space="preserve"> </w:t>
      </w:r>
    </w:p>
    <w:p w14:paraId="2CF2B68C" w14:textId="77777777" w:rsidR="0081085B" w:rsidRPr="0081085B" w:rsidRDefault="00145F8C" w:rsidP="00914149">
      <w:pPr>
        <w:pStyle w:val="ListParagraph"/>
        <w:numPr>
          <w:ilvl w:val="0"/>
          <w:numId w:val="29"/>
        </w:numPr>
        <w:rPr>
          <w:rFonts w:ascii="Calibri" w:hAnsi="Calibri" w:cs="Calibri"/>
          <w:b/>
          <w:bCs/>
        </w:rPr>
      </w:pPr>
      <w:r w:rsidRPr="00236DD1">
        <w:t>Initial email</w:t>
      </w:r>
      <w:r w:rsidR="00D901B5" w:rsidRPr="00236DD1">
        <w:t>/letter</w:t>
      </w:r>
      <w:r w:rsidRPr="00236DD1">
        <w:t xml:space="preserve"> to companies (Q4 2022</w:t>
      </w:r>
      <w:proofErr w:type="gramStart"/>
      <w:r w:rsidRPr="00236DD1">
        <w:t>)  -</w:t>
      </w:r>
      <w:proofErr w:type="gramEnd"/>
      <w:r w:rsidRPr="00236DD1">
        <w:t>&gt;</w:t>
      </w:r>
      <w:r w:rsidR="00C629BC" w:rsidRPr="00236DD1">
        <w:t xml:space="preserve"> Statement to be developed based on engagement questions, which are in turn </w:t>
      </w:r>
      <w:r w:rsidR="00D901B5" w:rsidRPr="00236DD1">
        <w:t xml:space="preserve">based on the </w:t>
      </w:r>
      <w:r w:rsidR="00275CD8" w:rsidRPr="00236DD1">
        <w:t>most salient sector</w:t>
      </w:r>
      <w:r w:rsidR="00262E8D" w:rsidRPr="00236DD1">
        <w:t>-</w:t>
      </w:r>
      <w:r w:rsidR="00275CD8" w:rsidRPr="00236DD1">
        <w:t xml:space="preserve">wide issues </w:t>
      </w:r>
      <w:r w:rsidR="00262E8D" w:rsidRPr="00236DD1">
        <w:t xml:space="preserve">in company practice </w:t>
      </w:r>
      <w:r w:rsidR="00236DD1">
        <w:t>identified in</w:t>
      </w:r>
      <w:r w:rsidR="00262E8D" w:rsidRPr="00236DD1">
        <w:t xml:space="preserve"> </w:t>
      </w:r>
      <w:proofErr w:type="spellStart"/>
      <w:r w:rsidR="00262E8D" w:rsidRPr="00236DD1">
        <w:t>KnowTheChain’s</w:t>
      </w:r>
      <w:proofErr w:type="spellEnd"/>
      <w:r w:rsidR="00262E8D" w:rsidRPr="00236DD1">
        <w:t xml:space="preserve"> 2021 Apparel and Footwear Benchmark. </w:t>
      </w:r>
      <w:r w:rsidR="00460668" w:rsidRPr="00236DD1">
        <w:t xml:space="preserve"> </w:t>
      </w:r>
    </w:p>
    <w:p w14:paraId="13DCB304" w14:textId="32316B6B" w:rsidR="00131378" w:rsidRPr="0081085B" w:rsidRDefault="00D901B5" w:rsidP="00914149">
      <w:pPr>
        <w:pStyle w:val="ListParagraph"/>
        <w:numPr>
          <w:ilvl w:val="0"/>
          <w:numId w:val="29"/>
        </w:numPr>
        <w:rPr>
          <w:rFonts w:ascii="Calibri" w:hAnsi="Calibri" w:cs="Calibri"/>
          <w:b/>
          <w:bCs/>
        </w:rPr>
      </w:pPr>
      <w:r w:rsidRPr="00914149">
        <w:t>Investor feedback to the group through to 2023 (5 quarterly engagement calls) will be the main way to track progress/ improvement made by companies on specific issue</w:t>
      </w:r>
      <w:r w:rsidR="00CA2219" w:rsidRPr="00914149">
        <w:t>s</w:t>
      </w:r>
      <w:r w:rsidR="00460668" w:rsidRPr="00914149">
        <w:t>. See above for practicalities in tracking engagements.</w:t>
      </w:r>
    </w:p>
    <w:p w14:paraId="62A8E0D6" w14:textId="77777777" w:rsidR="00114E2D" w:rsidRPr="00565CD3" w:rsidRDefault="00114E2D" w:rsidP="00114E2D">
      <w:pPr>
        <w:pStyle w:val="Heading3"/>
        <w:rPr>
          <w:rStyle w:val="normaltextrun"/>
          <w:sz w:val="26"/>
          <w:szCs w:val="26"/>
        </w:rPr>
      </w:pPr>
      <w:r w:rsidRPr="00565CD3">
        <w:rPr>
          <w:rStyle w:val="normaltextrun"/>
          <w:sz w:val="26"/>
          <w:szCs w:val="26"/>
        </w:rPr>
        <w:t>Engagement Process</w:t>
      </w:r>
    </w:p>
    <w:p w14:paraId="03C65F38" w14:textId="77777777" w:rsidR="00114E2D" w:rsidRPr="002D244F" w:rsidRDefault="00114E2D" w:rsidP="00114E2D">
      <w:pPr>
        <w:pStyle w:val="paragraph"/>
        <w:spacing w:before="0" w:beforeAutospacing="0" w:after="0" w:afterAutospacing="0"/>
        <w:textAlignment w:val="baseline"/>
        <w:rPr>
          <w:rStyle w:val="eop"/>
          <w:rFonts w:ascii="Calibri" w:hAnsi="Calibri" w:cs="Calibri"/>
          <w:sz w:val="22"/>
          <w:szCs w:val="22"/>
        </w:rPr>
      </w:pPr>
      <w:r w:rsidRPr="002D244F">
        <w:rPr>
          <w:rStyle w:val="eop"/>
          <w:rFonts w:ascii="Calibri" w:hAnsi="Calibri" w:cs="Calibri"/>
          <w:sz w:val="22"/>
          <w:szCs w:val="22"/>
        </w:rPr>
        <w:t>In support of shareholder efforts, the following will occur:</w:t>
      </w:r>
    </w:p>
    <w:p w14:paraId="6C3F99EB" w14:textId="77777777" w:rsidR="00114E2D" w:rsidRDefault="00114E2D" w:rsidP="00114E2D">
      <w:pPr>
        <w:pStyle w:val="paragraph"/>
        <w:numPr>
          <w:ilvl w:val="0"/>
          <w:numId w:val="27"/>
        </w:numPr>
        <w:spacing w:before="0" w:beforeAutospacing="0" w:after="0" w:afterAutospacing="0"/>
        <w:textAlignment w:val="baseline"/>
        <w:rPr>
          <w:rStyle w:val="eop"/>
          <w:rFonts w:ascii="Segoe UI" w:hAnsi="Segoe UI" w:cs="Segoe UI"/>
          <w:sz w:val="18"/>
          <w:szCs w:val="18"/>
        </w:rPr>
      </w:pPr>
      <w:r w:rsidRPr="002D244F">
        <w:rPr>
          <w:rStyle w:val="eop"/>
          <w:rFonts w:ascii="Calibri" w:hAnsi="Calibri" w:cs="Calibri"/>
          <w:sz w:val="22"/>
          <w:szCs w:val="22"/>
        </w:rPr>
        <w:t xml:space="preserve">Quarterly calls with investors that will include </w:t>
      </w:r>
      <w:r>
        <w:rPr>
          <w:rStyle w:val="eop"/>
          <w:rFonts w:ascii="Calibri" w:hAnsi="Calibri" w:cs="Calibri"/>
          <w:sz w:val="22"/>
          <w:szCs w:val="22"/>
        </w:rPr>
        <w:t>KnowTheChain</w:t>
      </w:r>
      <w:r w:rsidRPr="002D244F">
        <w:rPr>
          <w:rStyle w:val="eop"/>
          <w:rFonts w:ascii="Calibri" w:hAnsi="Calibri" w:cs="Calibri"/>
          <w:sz w:val="22"/>
          <w:szCs w:val="22"/>
        </w:rPr>
        <w:t xml:space="preserve"> and</w:t>
      </w:r>
      <w:r>
        <w:rPr>
          <w:rStyle w:val="eop"/>
          <w:rFonts w:ascii="Calibri" w:hAnsi="Calibri" w:cs="Calibri"/>
          <w:sz w:val="22"/>
          <w:szCs w:val="22"/>
        </w:rPr>
        <w:t xml:space="preserve"> other</w:t>
      </w:r>
      <w:r w:rsidRPr="002D244F">
        <w:rPr>
          <w:rStyle w:val="eop"/>
          <w:rFonts w:ascii="Calibri" w:hAnsi="Calibri" w:cs="Calibri"/>
          <w:sz w:val="22"/>
          <w:szCs w:val="22"/>
        </w:rPr>
        <w:t xml:space="preserve"> experts to raise awareness and improve education on main focus </w:t>
      </w:r>
      <w:proofErr w:type="gramStart"/>
      <w:r w:rsidRPr="002D244F">
        <w:rPr>
          <w:rStyle w:val="eop"/>
          <w:rFonts w:ascii="Calibri" w:hAnsi="Calibri" w:cs="Calibri"/>
          <w:sz w:val="22"/>
          <w:szCs w:val="22"/>
        </w:rPr>
        <w:t>areas</w:t>
      </w:r>
      <w:r>
        <w:rPr>
          <w:rStyle w:val="eop"/>
          <w:rFonts w:ascii="Calibri" w:hAnsi="Calibri" w:cs="Calibri"/>
          <w:sz w:val="22"/>
          <w:szCs w:val="22"/>
        </w:rPr>
        <w:t>;</w:t>
      </w:r>
      <w:proofErr w:type="gramEnd"/>
    </w:p>
    <w:p w14:paraId="5F00BD83" w14:textId="77777777" w:rsidR="00114E2D" w:rsidRDefault="00114E2D" w:rsidP="00114E2D">
      <w:pPr>
        <w:pStyle w:val="paragraph"/>
        <w:numPr>
          <w:ilvl w:val="0"/>
          <w:numId w:val="27"/>
        </w:numPr>
        <w:spacing w:before="0" w:beforeAutospacing="0" w:after="0" w:afterAutospacing="0"/>
        <w:textAlignment w:val="baseline"/>
        <w:rPr>
          <w:rStyle w:val="eop"/>
          <w:rFonts w:ascii="Segoe UI" w:hAnsi="Segoe UI" w:cs="Segoe UI"/>
          <w:sz w:val="18"/>
          <w:szCs w:val="18"/>
        </w:rPr>
      </w:pPr>
      <w:r w:rsidRPr="00025486">
        <w:rPr>
          <w:rStyle w:val="eop"/>
          <w:rFonts w:ascii="Calibri" w:hAnsi="Calibri" w:cs="Calibri"/>
          <w:sz w:val="22"/>
          <w:szCs w:val="22"/>
        </w:rPr>
        <w:t xml:space="preserve">A database of investor involvement, status of engagement and ongoing metrics to assess investor progress by </w:t>
      </w:r>
      <w:proofErr w:type="gramStart"/>
      <w:r w:rsidRPr="00025486">
        <w:rPr>
          <w:rStyle w:val="eop"/>
          <w:rFonts w:ascii="Calibri" w:hAnsi="Calibri" w:cs="Calibri"/>
          <w:sz w:val="22"/>
          <w:szCs w:val="22"/>
        </w:rPr>
        <w:t>company</w:t>
      </w:r>
      <w:r>
        <w:rPr>
          <w:rStyle w:val="eop"/>
          <w:rFonts w:ascii="Calibri" w:hAnsi="Calibri" w:cs="Calibri"/>
          <w:sz w:val="22"/>
          <w:szCs w:val="22"/>
        </w:rPr>
        <w:t>;</w:t>
      </w:r>
      <w:proofErr w:type="gramEnd"/>
    </w:p>
    <w:p w14:paraId="3A732F38" w14:textId="2A28D6F5" w:rsidR="00114E2D" w:rsidRDefault="00114E2D" w:rsidP="00114E2D">
      <w:pPr>
        <w:pStyle w:val="paragraph"/>
        <w:numPr>
          <w:ilvl w:val="0"/>
          <w:numId w:val="27"/>
        </w:numPr>
        <w:spacing w:before="0" w:beforeAutospacing="0" w:after="0" w:afterAutospacing="0"/>
        <w:textAlignment w:val="baseline"/>
        <w:rPr>
          <w:rStyle w:val="eop"/>
          <w:rFonts w:ascii="Segoe UI" w:hAnsi="Segoe UI" w:cs="Segoe UI"/>
          <w:sz w:val="18"/>
          <w:szCs w:val="18"/>
        </w:rPr>
      </w:pPr>
      <w:r w:rsidRPr="00025486">
        <w:rPr>
          <w:rStyle w:val="eop"/>
          <w:rFonts w:ascii="Calibri" w:hAnsi="Calibri" w:cs="Calibri"/>
          <w:sz w:val="22"/>
          <w:szCs w:val="22"/>
        </w:rPr>
        <w:t xml:space="preserve">A campaign by </w:t>
      </w:r>
      <w:r w:rsidR="00514BE2">
        <w:rPr>
          <w:rStyle w:val="eop"/>
          <w:rFonts w:ascii="Calibri" w:hAnsi="Calibri" w:cs="Calibri"/>
          <w:sz w:val="22"/>
          <w:szCs w:val="22"/>
        </w:rPr>
        <w:t>KnowTheChain</w:t>
      </w:r>
      <w:r w:rsidRPr="00025486">
        <w:rPr>
          <w:rStyle w:val="eop"/>
          <w:rFonts w:ascii="Calibri" w:hAnsi="Calibri" w:cs="Calibri"/>
          <w:sz w:val="22"/>
          <w:szCs w:val="22"/>
        </w:rPr>
        <w:t xml:space="preserve"> at the release of the benchmark supported by media</w:t>
      </w:r>
      <w:r w:rsidR="00514BE2">
        <w:rPr>
          <w:rStyle w:val="eop"/>
          <w:rFonts w:ascii="Calibri" w:hAnsi="Calibri" w:cs="Calibri"/>
          <w:sz w:val="22"/>
          <w:szCs w:val="22"/>
        </w:rPr>
        <w:t xml:space="preserve"> and</w:t>
      </w:r>
      <w:r w:rsidR="00514151">
        <w:rPr>
          <w:rStyle w:val="eop"/>
          <w:rFonts w:ascii="Calibri" w:hAnsi="Calibri" w:cs="Calibri"/>
          <w:sz w:val="22"/>
          <w:szCs w:val="22"/>
        </w:rPr>
        <w:t xml:space="preserve"> led by</w:t>
      </w:r>
      <w:r w:rsidR="00D34029">
        <w:rPr>
          <w:rStyle w:val="eop"/>
          <w:rFonts w:ascii="Calibri" w:hAnsi="Calibri" w:cs="Calibri"/>
          <w:sz w:val="22"/>
          <w:szCs w:val="22"/>
        </w:rPr>
        <w:t xml:space="preserve"> the</w:t>
      </w:r>
      <w:r w:rsidRPr="00025486">
        <w:rPr>
          <w:rStyle w:val="eop"/>
          <w:rFonts w:ascii="Calibri" w:hAnsi="Calibri" w:cs="Calibri"/>
          <w:sz w:val="22"/>
          <w:szCs w:val="22"/>
        </w:rPr>
        <w:t xml:space="preserve"> ICCR and other members of the collaborative </w:t>
      </w:r>
      <w:proofErr w:type="gramStart"/>
      <w:r w:rsidRPr="00025486">
        <w:rPr>
          <w:rStyle w:val="eop"/>
          <w:rFonts w:ascii="Calibri" w:hAnsi="Calibri" w:cs="Calibri"/>
          <w:sz w:val="22"/>
          <w:szCs w:val="22"/>
        </w:rPr>
        <w:t>engagement</w:t>
      </w:r>
      <w:r>
        <w:rPr>
          <w:rStyle w:val="eop"/>
          <w:rFonts w:ascii="Calibri" w:hAnsi="Calibri" w:cs="Calibri"/>
          <w:sz w:val="22"/>
          <w:szCs w:val="22"/>
        </w:rPr>
        <w:t>;</w:t>
      </w:r>
      <w:proofErr w:type="gramEnd"/>
    </w:p>
    <w:p w14:paraId="6FE74F02" w14:textId="7241A9FB" w:rsidR="00114E2D" w:rsidRPr="00D04E2D" w:rsidRDefault="00114E2D" w:rsidP="00114E2D">
      <w:pPr>
        <w:pStyle w:val="paragraph"/>
        <w:numPr>
          <w:ilvl w:val="0"/>
          <w:numId w:val="27"/>
        </w:numPr>
        <w:spacing w:before="0" w:beforeAutospacing="0" w:after="0" w:afterAutospacing="0"/>
        <w:textAlignment w:val="baseline"/>
        <w:rPr>
          <w:rFonts w:ascii="Segoe UI" w:hAnsi="Segoe UI" w:cs="Segoe UI"/>
          <w:sz w:val="18"/>
          <w:szCs w:val="18"/>
        </w:rPr>
      </w:pPr>
      <w:r w:rsidRPr="00D04E2D">
        <w:rPr>
          <w:rStyle w:val="eop"/>
          <w:rFonts w:ascii="Calibri" w:hAnsi="Calibri" w:cs="Calibri"/>
          <w:sz w:val="22"/>
          <w:szCs w:val="22"/>
        </w:rPr>
        <w:t xml:space="preserve">Workshops on </w:t>
      </w:r>
      <w:r>
        <w:rPr>
          <w:rStyle w:val="eop"/>
          <w:rFonts w:ascii="Calibri" w:hAnsi="Calibri" w:cs="Calibri"/>
          <w:sz w:val="22"/>
          <w:szCs w:val="22"/>
        </w:rPr>
        <w:t>key</w:t>
      </w:r>
      <w:r w:rsidRPr="00D04E2D">
        <w:rPr>
          <w:rStyle w:val="eop"/>
          <w:rFonts w:ascii="Calibri" w:hAnsi="Calibri" w:cs="Calibri"/>
          <w:sz w:val="22"/>
          <w:szCs w:val="22"/>
        </w:rPr>
        <w:t xml:space="preserve"> topic</w:t>
      </w:r>
      <w:r>
        <w:rPr>
          <w:rStyle w:val="eop"/>
          <w:rFonts w:ascii="Calibri" w:hAnsi="Calibri" w:cs="Calibri"/>
          <w:sz w:val="22"/>
          <w:szCs w:val="22"/>
        </w:rPr>
        <w:t>s</w:t>
      </w:r>
      <w:r w:rsidRPr="00D04E2D">
        <w:rPr>
          <w:rStyle w:val="eop"/>
          <w:rFonts w:ascii="Calibri" w:hAnsi="Calibri" w:cs="Calibri"/>
          <w:sz w:val="22"/>
          <w:szCs w:val="22"/>
        </w:rPr>
        <w:t xml:space="preserve"> by K</w:t>
      </w:r>
      <w:r>
        <w:rPr>
          <w:rStyle w:val="eop"/>
          <w:rFonts w:ascii="Calibri" w:hAnsi="Calibri" w:cs="Calibri"/>
          <w:sz w:val="22"/>
          <w:szCs w:val="22"/>
        </w:rPr>
        <w:t>nowTheChain and</w:t>
      </w:r>
      <w:r w:rsidR="00D34029">
        <w:rPr>
          <w:rStyle w:val="eop"/>
          <w:rFonts w:ascii="Calibri" w:hAnsi="Calibri" w:cs="Calibri"/>
          <w:sz w:val="22"/>
          <w:szCs w:val="22"/>
        </w:rPr>
        <w:t xml:space="preserve"> the</w:t>
      </w:r>
      <w:r w:rsidRPr="00D04E2D">
        <w:rPr>
          <w:rStyle w:val="eop"/>
          <w:rFonts w:ascii="Calibri" w:hAnsi="Calibri" w:cs="Calibri"/>
          <w:sz w:val="22"/>
          <w:szCs w:val="22"/>
        </w:rPr>
        <w:t xml:space="preserve"> ICCR at leading investor network and industry association conferences, </w:t>
      </w:r>
      <w:proofErr w:type="gramStart"/>
      <w:r w:rsidRPr="00D04E2D">
        <w:rPr>
          <w:rStyle w:val="eop"/>
          <w:rFonts w:ascii="Calibri" w:hAnsi="Calibri" w:cs="Calibri"/>
          <w:sz w:val="22"/>
          <w:szCs w:val="22"/>
        </w:rPr>
        <w:t>i.e.</w:t>
      </w:r>
      <w:proofErr w:type="gramEnd"/>
      <w:r w:rsidRPr="00D04E2D">
        <w:rPr>
          <w:rStyle w:val="eop"/>
          <w:rFonts w:ascii="Calibri" w:hAnsi="Calibri" w:cs="Calibri"/>
          <w:sz w:val="22"/>
          <w:szCs w:val="22"/>
        </w:rPr>
        <w:t xml:space="preserve"> PRI, IAHR, ILO, AAFA, etc.   </w:t>
      </w:r>
    </w:p>
    <w:p w14:paraId="0AF5133A" w14:textId="43463759" w:rsidR="00DB7E13" w:rsidRDefault="00114E2D" w:rsidP="002220E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lastRenderedPageBreak/>
        <w:t xml:space="preserve">Lead investors should </w:t>
      </w:r>
      <w:r>
        <w:rPr>
          <w:rStyle w:val="normaltextrun"/>
          <w:rFonts w:ascii="Calibri" w:hAnsi="Calibri" w:cs="Calibri"/>
          <w:sz w:val="22"/>
          <w:szCs w:val="22"/>
        </w:rPr>
        <w:t>se</w:t>
      </w:r>
      <w:r w:rsidR="00DB7E13">
        <w:rPr>
          <w:rStyle w:val="normaltextrun"/>
          <w:rFonts w:ascii="Calibri" w:hAnsi="Calibri" w:cs="Calibri"/>
          <w:sz w:val="22"/>
          <w:szCs w:val="22"/>
        </w:rPr>
        <w:t>t targets/ expectations</w:t>
      </w:r>
      <w:r w:rsidR="00F40F64">
        <w:rPr>
          <w:rStyle w:val="normaltextrun"/>
          <w:rFonts w:ascii="Calibri" w:hAnsi="Calibri" w:cs="Calibri"/>
          <w:sz w:val="22"/>
          <w:szCs w:val="22"/>
        </w:rPr>
        <w:t xml:space="preserve"> for </w:t>
      </w:r>
      <w:r w:rsidR="000A6B3E">
        <w:rPr>
          <w:rStyle w:val="normaltextrun"/>
          <w:rFonts w:ascii="Calibri" w:hAnsi="Calibri" w:cs="Calibri"/>
          <w:sz w:val="22"/>
          <w:szCs w:val="22"/>
        </w:rPr>
        <w:t xml:space="preserve">individual </w:t>
      </w:r>
      <w:r w:rsidR="00F40F64">
        <w:rPr>
          <w:rStyle w:val="normaltextrun"/>
          <w:rFonts w:ascii="Calibri" w:hAnsi="Calibri" w:cs="Calibri"/>
          <w:sz w:val="22"/>
          <w:szCs w:val="22"/>
        </w:rPr>
        <w:t>company practice</w:t>
      </w:r>
      <w:r w:rsidR="00DB7E13">
        <w:rPr>
          <w:rStyle w:val="normaltextrun"/>
          <w:rFonts w:ascii="Calibri" w:hAnsi="Calibri" w:cs="Calibri"/>
          <w:sz w:val="22"/>
          <w:szCs w:val="22"/>
        </w:rPr>
        <w:t xml:space="preserve"> based on </w:t>
      </w:r>
      <w:r w:rsidR="008679AE">
        <w:rPr>
          <w:rStyle w:val="normaltextrun"/>
          <w:rFonts w:ascii="Calibri" w:hAnsi="Calibri" w:cs="Calibri"/>
          <w:sz w:val="22"/>
          <w:szCs w:val="22"/>
        </w:rPr>
        <w:t xml:space="preserve">the objectives outlined above and </w:t>
      </w:r>
      <w:proofErr w:type="gramStart"/>
      <w:r w:rsidR="008679AE">
        <w:rPr>
          <w:rStyle w:val="normaltextrun"/>
          <w:rFonts w:ascii="Calibri" w:hAnsi="Calibri" w:cs="Calibri"/>
          <w:sz w:val="22"/>
          <w:szCs w:val="22"/>
        </w:rPr>
        <w:t>through the use of</w:t>
      </w:r>
      <w:proofErr w:type="gramEnd"/>
      <w:r w:rsidR="008679AE">
        <w:rPr>
          <w:rStyle w:val="normaltextrun"/>
          <w:rFonts w:ascii="Calibri" w:hAnsi="Calibri" w:cs="Calibri"/>
          <w:sz w:val="22"/>
          <w:szCs w:val="22"/>
        </w:rPr>
        <w:t xml:space="preserve"> the aforementioned engagement questions</w:t>
      </w:r>
      <w:r w:rsidR="00373679">
        <w:rPr>
          <w:rStyle w:val="normaltextrun"/>
          <w:rFonts w:ascii="Calibri" w:hAnsi="Calibri" w:cs="Calibri"/>
          <w:sz w:val="22"/>
          <w:szCs w:val="22"/>
        </w:rPr>
        <w:t xml:space="preserve">, evidence from </w:t>
      </w:r>
      <w:r w:rsidR="00B25D67">
        <w:rPr>
          <w:rStyle w:val="normaltextrun"/>
          <w:rFonts w:ascii="Calibri" w:hAnsi="Calibri" w:cs="Calibri"/>
          <w:sz w:val="22"/>
          <w:szCs w:val="22"/>
        </w:rPr>
        <w:t>KnowTheChain</w:t>
      </w:r>
      <w:r w:rsidR="00373679">
        <w:rPr>
          <w:rStyle w:val="normaltextrun"/>
          <w:rFonts w:ascii="Calibri" w:hAnsi="Calibri" w:cs="Calibri"/>
          <w:sz w:val="22"/>
          <w:szCs w:val="22"/>
        </w:rPr>
        <w:t xml:space="preserve"> benchmarks</w:t>
      </w:r>
      <w:r w:rsidR="00EA7231">
        <w:rPr>
          <w:rStyle w:val="normaltextrun"/>
          <w:rFonts w:ascii="Calibri" w:hAnsi="Calibri" w:cs="Calibri"/>
          <w:sz w:val="22"/>
          <w:szCs w:val="22"/>
        </w:rPr>
        <w:t>,</w:t>
      </w:r>
      <w:r w:rsidR="00373679">
        <w:rPr>
          <w:rStyle w:val="normaltextrun"/>
          <w:rFonts w:ascii="Calibri" w:hAnsi="Calibri" w:cs="Calibri"/>
          <w:sz w:val="22"/>
          <w:szCs w:val="22"/>
        </w:rPr>
        <w:t xml:space="preserve"> and additional </w:t>
      </w:r>
      <w:r w:rsidR="00AE14C2">
        <w:rPr>
          <w:rStyle w:val="normaltextrun"/>
          <w:rFonts w:ascii="Calibri" w:hAnsi="Calibri" w:cs="Calibri"/>
          <w:sz w:val="22"/>
          <w:szCs w:val="22"/>
        </w:rPr>
        <w:t>research</w:t>
      </w:r>
      <w:r w:rsidR="008679AE">
        <w:rPr>
          <w:rStyle w:val="normaltextrun"/>
          <w:rFonts w:ascii="Calibri" w:hAnsi="Calibri" w:cs="Calibri"/>
          <w:sz w:val="22"/>
          <w:szCs w:val="22"/>
        </w:rPr>
        <w:t xml:space="preserve">. </w:t>
      </w:r>
      <w:r w:rsidR="000A6B3E">
        <w:rPr>
          <w:rStyle w:val="cf01"/>
        </w:rPr>
        <w:t>The targets should not be related to</w:t>
      </w:r>
      <w:r w:rsidR="000A6B3E">
        <w:rPr>
          <w:rStyle w:val="normaltextrun"/>
          <w:rFonts w:ascii="Calibri" w:hAnsi="Calibri" w:cs="Calibri"/>
          <w:sz w:val="22"/>
          <w:szCs w:val="22"/>
        </w:rPr>
        <w:t xml:space="preserve"> </w:t>
      </w:r>
      <w:r w:rsidR="000A6B3E" w:rsidRPr="000A6B3E">
        <w:rPr>
          <w:rFonts w:ascii="Calibri" w:hAnsi="Calibri" w:cs="Calibri"/>
          <w:sz w:val="22"/>
          <w:szCs w:val="22"/>
        </w:rPr>
        <w:t>the number of companies engaged by investors but</w:t>
      </w:r>
      <w:r w:rsidR="00156F53">
        <w:rPr>
          <w:rFonts w:ascii="Calibri" w:hAnsi="Calibri" w:cs="Calibri"/>
          <w:sz w:val="22"/>
          <w:szCs w:val="22"/>
        </w:rPr>
        <w:t xml:space="preserve"> rather corporate behavioural change on </w:t>
      </w:r>
      <w:r w:rsidR="00632BDB">
        <w:rPr>
          <w:rFonts w:ascii="Calibri" w:hAnsi="Calibri" w:cs="Calibri"/>
          <w:sz w:val="22"/>
          <w:szCs w:val="22"/>
        </w:rPr>
        <w:t>this specific issue area</w:t>
      </w:r>
      <w:r w:rsidR="00AE14C2">
        <w:rPr>
          <w:rFonts w:ascii="Calibri" w:hAnsi="Calibri" w:cs="Calibri"/>
          <w:sz w:val="22"/>
          <w:szCs w:val="22"/>
        </w:rPr>
        <w:t xml:space="preserve">: </w:t>
      </w:r>
      <w:r w:rsidR="00632BDB">
        <w:rPr>
          <w:rFonts w:ascii="Calibri" w:hAnsi="Calibri" w:cs="Calibri"/>
          <w:sz w:val="22"/>
          <w:szCs w:val="22"/>
        </w:rPr>
        <w:t xml:space="preserve">worker centric due diligence including </w:t>
      </w:r>
      <w:r w:rsidR="00FF6730">
        <w:rPr>
          <w:rFonts w:ascii="Calibri" w:hAnsi="Calibri" w:cs="Calibri"/>
          <w:sz w:val="22"/>
          <w:szCs w:val="22"/>
        </w:rPr>
        <w:t xml:space="preserve">freedom </w:t>
      </w:r>
      <w:r w:rsidR="002137AD">
        <w:rPr>
          <w:rFonts w:ascii="Calibri" w:hAnsi="Calibri" w:cs="Calibri"/>
          <w:sz w:val="22"/>
          <w:szCs w:val="22"/>
        </w:rPr>
        <w:t xml:space="preserve">of association and collective </w:t>
      </w:r>
      <w:proofErr w:type="gramStart"/>
      <w:r w:rsidR="002137AD">
        <w:rPr>
          <w:rFonts w:ascii="Calibri" w:hAnsi="Calibri" w:cs="Calibri"/>
          <w:sz w:val="22"/>
          <w:szCs w:val="22"/>
        </w:rPr>
        <w:t>bargaining,</w:t>
      </w:r>
      <w:r w:rsidR="00632BDB">
        <w:rPr>
          <w:rFonts w:ascii="Calibri" w:hAnsi="Calibri" w:cs="Calibri"/>
          <w:sz w:val="22"/>
          <w:szCs w:val="22"/>
        </w:rPr>
        <w:t xml:space="preserve"> and</w:t>
      </w:r>
      <w:proofErr w:type="gramEnd"/>
      <w:r w:rsidR="00632BDB">
        <w:rPr>
          <w:rFonts w:ascii="Calibri" w:hAnsi="Calibri" w:cs="Calibri"/>
          <w:sz w:val="22"/>
          <w:szCs w:val="22"/>
        </w:rPr>
        <w:t xml:space="preserve"> purchasing practices.</w:t>
      </w:r>
      <w:r w:rsidR="002137AD">
        <w:rPr>
          <w:rStyle w:val="eop"/>
          <w:rFonts w:ascii="Calibri" w:hAnsi="Calibri" w:cs="Calibri"/>
          <w:sz w:val="22"/>
          <w:szCs w:val="22"/>
        </w:rPr>
        <w:t xml:space="preserve"> </w:t>
      </w:r>
      <w:r w:rsidR="00AE14C2">
        <w:rPr>
          <w:rStyle w:val="eop"/>
          <w:rFonts w:ascii="Calibri" w:hAnsi="Calibri" w:cs="Calibri"/>
          <w:sz w:val="22"/>
          <w:szCs w:val="22"/>
        </w:rPr>
        <w:t>It should be made clear that lack of progress on specific issues would lead to further action/ escalation by the individual investor or investor group.</w:t>
      </w:r>
    </w:p>
    <w:p w14:paraId="44B9D6CA" w14:textId="77777777" w:rsidR="00E35DAF" w:rsidRDefault="00E35DAF" w:rsidP="002220E3">
      <w:pPr>
        <w:pStyle w:val="paragraph"/>
        <w:spacing w:before="0" w:beforeAutospacing="0" w:after="0" w:afterAutospacing="0"/>
        <w:textAlignment w:val="baseline"/>
      </w:pPr>
    </w:p>
    <w:p w14:paraId="2C2CC05F" w14:textId="21E4AFC9" w:rsidR="00145F8C" w:rsidRPr="00565CD3" w:rsidRDefault="003F20F5" w:rsidP="00565CD3">
      <w:pPr>
        <w:pStyle w:val="Heading3"/>
        <w:rPr>
          <w:sz w:val="26"/>
          <w:szCs w:val="26"/>
        </w:rPr>
      </w:pPr>
      <w:r w:rsidRPr="00565CD3">
        <w:rPr>
          <w:rStyle w:val="normaltextrun"/>
          <w:sz w:val="26"/>
          <w:szCs w:val="26"/>
        </w:rPr>
        <w:t>Escalation:</w:t>
      </w:r>
    </w:p>
    <w:p w14:paraId="4C6FCED8" w14:textId="42518BCB" w:rsidR="00E10CBF" w:rsidRDefault="00DB7E13" w:rsidP="00E10CBF">
      <w:pPr>
        <w:pStyle w:val="paragraph"/>
        <w:spacing w:before="0" w:beforeAutospacing="0" w:after="0" w:afterAutospacing="0"/>
        <w:textAlignment w:val="baseline"/>
        <w:rPr>
          <w:rFonts w:ascii="Calibri" w:hAnsi="Calibri" w:cs="Calibri"/>
          <w:sz w:val="22"/>
          <w:szCs w:val="22"/>
        </w:rPr>
      </w:pPr>
      <w:r w:rsidRPr="00E10CBF">
        <w:rPr>
          <w:rStyle w:val="normaltextrun"/>
          <w:rFonts w:ascii="Calibri" w:hAnsi="Calibri" w:cs="Calibri"/>
          <w:b/>
          <w:bCs/>
          <w:sz w:val="22"/>
          <w:szCs w:val="22"/>
        </w:rPr>
        <w:t>Scenario 1:</w:t>
      </w:r>
      <w:r>
        <w:rPr>
          <w:rStyle w:val="normaltextrun"/>
          <w:rFonts w:ascii="Calibri" w:hAnsi="Calibri" w:cs="Calibri"/>
          <w:sz w:val="22"/>
          <w:szCs w:val="22"/>
        </w:rPr>
        <w:t xml:space="preserve"> </w:t>
      </w:r>
      <w:r w:rsidR="00E10CBF">
        <w:rPr>
          <w:rStyle w:val="normaltextrun"/>
          <w:rFonts w:ascii="Calibri" w:hAnsi="Calibri" w:cs="Calibri"/>
          <w:sz w:val="22"/>
          <w:szCs w:val="22"/>
        </w:rPr>
        <w:t>I</w:t>
      </w:r>
      <w:r>
        <w:rPr>
          <w:rStyle w:val="normaltextrun"/>
          <w:rFonts w:ascii="Calibri" w:hAnsi="Calibri" w:cs="Calibri"/>
          <w:sz w:val="22"/>
          <w:szCs w:val="22"/>
        </w:rPr>
        <w:t>nitial letters sent to companies (Q4 2022) -&gt; scheduling of meeting and constructive</w:t>
      </w:r>
      <w:r w:rsidR="00B862BD">
        <w:rPr>
          <w:rStyle w:val="normaltextrun"/>
          <w:rFonts w:ascii="Calibri" w:hAnsi="Calibri" w:cs="Calibri"/>
          <w:sz w:val="22"/>
          <w:szCs w:val="22"/>
        </w:rPr>
        <w:t xml:space="preserve"> </w:t>
      </w:r>
      <w:r>
        <w:rPr>
          <w:rStyle w:val="normaltextrun"/>
          <w:rFonts w:ascii="Calibri" w:hAnsi="Calibri" w:cs="Calibri"/>
          <w:sz w:val="22"/>
          <w:szCs w:val="22"/>
        </w:rPr>
        <w:t>dialogue (2023) -&gt; company pledges (2023-24).</w:t>
      </w:r>
      <w:r w:rsidR="00687211">
        <w:rPr>
          <w:rStyle w:val="FootnoteReference"/>
          <w:rFonts w:ascii="Calibri" w:hAnsi="Calibri" w:cs="Calibri"/>
          <w:sz w:val="22"/>
          <w:szCs w:val="22"/>
        </w:rPr>
        <w:footnoteReference w:id="5"/>
      </w:r>
      <w:r>
        <w:rPr>
          <w:rStyle w:val="eop"/>
          <w:rFonts w:ascii="Calibri" w:hAnsi="Calibri" w:cs="Calibri"/>
          <w:sz w:val="22"/>
          <w:szCs w:val="22"/>
        </w:rPr>
        <w:t> </w:t>
      </w:r>
    </w:p>
    <w:p w14:paraId="70AF2A23" w14:textId="77777777" w:rsidR="00E10CBF" w:rsidRDefault="00E10CBF" w:rsidP="00E10CBF">
      <w:pPr>
        <w:pStyle w:val="paragraph"/>
        <w:spacing w:before="0" w:beforeAutospacing="0" w:after="0" w:afterAutospacing="0"/>
        <w:ind w:left="360"/>
        <w:textAlignment w:val="baseline"/>
        <w:rPr>
          <w:rFonts w:ascii="Calibri" w:hAnsi="Calibri" w:cs="Calibri"/>
          <w:sz w:val="22"/>
          <w:szCs w:val="22"/>
        </w:rPr>
      </w:pPr>
    </w:p>
    <w:p w14:paraId="167557F0" w14:textId="69DEF786" w:rsidR="00DB7E13" w:rsidRDefault="00E10CBF" w:rsidP="00E10CBF">
      <w:pPr>
        <w:pStyle w:val="paragraph"/>
        <w:spacing w:before="0" w:beforeAutospacing="0" w:after="0" w:afterAutospacing="0"/>
        <w:textAlignment w:val="baseline"/>
        <w:rPr>
          <w:rStyle w:val="normaltextrun"/>
          <w:rFonts w:ascii="Calibri" w:hAnsi="Calibri" w:cs="Calibri"/>
          <w:sz w:val="22"/>
          <w:szCs w:val="22"/>
        </w:rPr>
      </w:pPr>
      <w:r w:rsidRPr="00E10CBF">
        <w:rPr>
          <w:rStyle w:val="normaltextrun"/>
          <w:rFonts w:ascii="Calibri" w:hAnsi="Calibri" w:cs="Calibri"/>
          <w:b/>
          <w:bCs/>
          <w:sz w:val="22"/>
          <w:szCs w:val="22"/>
        </w:rPr>
        <w:t xml:space="preserve">Scenario 2: </w:t>
      </w:r>
      <w:r w:rsidR="00DB7E13">
        <w:rPr>
          <w:rStyle w:val="normaltextrun"/>
          <w:rFonts w:ascii="Calibri" w:hAnsi="Calibri" w:cs="Calibri"/>
          <w:sz w:val="22"/>
          <w:szCs w:val="22"/>
        </w:rPr>
        <w:t>Constructive dialogue</w:t>
      </w:r>
      <w:r>
        <w:rPr>
          <w:rStyle w:val="normaltextrun"/>
          <w:rFonts w:ascii="Calibri" w:hAnsi="Calibri" w:cs="Calibri"/>
          <w:sz w:val="22"/>
          <w:szCs w:val="22"/>
        </w:rPr>
        <w:t xml:space="preserve"> (Q3 2023),</w:t>
      </w:r>
      <w:r w:rsidR="00DB7E13">
        <w:rPr>
          <w:rStyle w:val="normaltextrun"/>
          <w:rFonts w:ascii="Calibri" w:hAnsi="Calibri" w:cs="Calibri"/>
          <w:sz w:val="22"/>
          <w:szCs w:val="22"/>
        </w:rPr>
        <w:t xml:space="preserve"> but company pushback/ no pledges/ progress by Q4 2023 -&gt; Additional dialogue with more ICCR </w:t>
      </w:r>
      <w:r>
        <w:rPr>
          <w:rStyle w:val="normaltextrun"/>
          <w:rFonts w:ascii="Calibri" w:hAnsi="Calibri" w:cs="Calibri"/>
          <w:sz w:val="22"/>
          <w:szCs w:val="22"/>
        </w:rPr>
        <w:t xml:space="preserve">members </w:t>
      </w:r>
      <w:r w:rsidR="00DB7E13">
        <w:rPr>
          <w:rStyle w:val="normaltextrun"/>
          <w:rFonts w:ascii="Calibri" w:hAnsi="Calibri" w:cs="Calibri"/>
          <w:sz w:val="22"/>
          <w:szCs w:val="22"/>
        </w:rPr>
        <w:t xml:space="preserve">(not just lead/ support) / working groups with companies who have implemented best practice strategies: </w:t>
      </w:r>
    </w:p>
    <w:p w14:paraId="350AE182" w14:textId="6ED7979D" w:rsidR="00DB7E13" w:rsidRPr="00DB7E13" w:rsidRDefault="00DB7E13" w:rsidP="00DB7E13">
      <w:pPr>
        <w:pStyle w:val="paragraph"/>
        <w:numPr>
          <w:ilvl w:val="1"/>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w:t>
      </w:r>
      <w:r w:rsidRPr="00DB7E13">
        <w:rPr>
          <w:rStyle w:val="normaltextrun"/>
          <w:rFonts w:ascii="Calibri" w:hAnsi="Calibri" w:cs="Calibri"/>
          <w:sz w:val="22"/>
          <w:szCs w:val="22"/>
        </w:rPr>
        <w:t>ledges made</w:t>
      </w:r>
      <w:r w:rsidR="007A72A0">
        <w:rPr>
          <w:rStyle w:val="normaltextrun"/>
          <w:rFonts w:ascii="Calibri" w:hAnsi="Calibri" w:cs="Calibri"/>
          <w:sz w:val="22"/>
          <w:szCs w:val="22"/>
        </w:rPr>
        <w:t>:</w:t>
      </w:r>
      <w:r w:rsidR="00C13A38">
        <w:rPr>
          <w:rStyle w:val="normaltextrun"/>
          <w:rFonts w:ascii="Calibri" w:hAnsi="Calibri" w:cs="Calibri"/>
          <w:sz w:val="22"/>
          <w:szCs w:val="22"/>
        </w:rPr>
        <w:t xml:space="preserve"> </w:t>
      </w:r>
      <w:proofErr w:type="gramStart"/>
      <w:r w:rsidRPr="00DB7E13">
        <w:rPr>
          <w:rStyle w:val="normaltextrun"/>
          <w:rFonts w:ascii="Calibri" w:hAnsi="Calibri" w:cs="Calibri"/>
          <w:sz w:val="22"/>
          <w:szCs w:val="22"/>
        </w:rPr>
        <w:t>fin</w:t>
      </w:r>
      <w:proofErr w:type="gramEnd"/>
      <w:r w:rsidRPr="00DB7E13">
        <w:rPr>
          <w:rStyle w:val="eop"/>
          <w:rFonts w:ascii="Calibri" w:hAnsi="Calibri" w:cs="Calibri"/>
          <w:sz w:val="22"/>
          <w:szCs w:val="22"/>
        </w:rPr>
        <w:t> </w:t>
      </w:r>
    </w:p>
    <w:p w14:paraId="3071A1D9" w14:textId="62FE7F39" w:rsidR="00E10CBF" w:rsidRDefault="00DB7E13" w:rsidP="00E10CBF">
      <w:pPr>
        <w:pStyle w:val="paragraph"/>
        <w:numPr>
          <w:ilvl w:val="1"/>
          <w:numId w:val="15"/>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No pledges mad</w:t>
      </w:r>
      <w:r w:rsidR="007A72A0">
        <w:rPr>
          <w:rStyle w:val="normaltextrun"/>
          <w:rFonts w:ascii="Calibri" w:hAnsi="Calibri" w:cs="Calibri"/>
          <w:sz w:val="22"/>
          <w:szCs w:val="22"/>
        </w:rPr>
        <w:t xml:space="preserve">e: escalation could include writing letter to the company board directly, </w:t>
      </w:r>
      <w:r w:rsidR="00B11DA6">
        <w:rPr>
          <w:rStyle w:val="normaltextrun"/>
          <w:rFonts w:ascii="Calibri" w:hAnsi="Calibri" w:cs="Calibri"/>
          <w:sz w:val="22"/>
          <w:szCs w:val="22"/>
        </w:rPr>
        <w:t>shareholder resolutions</w:t>
      </w:r>
      <w:r w:rsidR="003912AE">
        <w:rPr>
          <w:rStyle w:val="normaltextrun"/>
          <w:rFonts w:ascii="Calibri" w:hAnsi="Calibri" w:cs="Calibri"/>
          <w:sz w:val="22"/>
          <w:szCs w:val="22"/>
        </w:rPr>
        <w:t xml:space="preserve"> in the US</w:t>
      </w:r>
      <w:r w:rsidR="006F58EB">
        <w:rPr>
          <w:rStyle w:val="normaltextrun"/>
          <w:rFonts w:ascii="Calibri" w:hAnsi="Calibri" w:cs="Calibri"/>
          <w:sz w:val="22"/>
          <w:szCs w:val="22"/>
        </w:rPr>
        <w:t xml:space="preserve"> (where appropriate)</w:t>
      </w:r>
      <w:r w:rsidR="00D114C6">
        <w:rPr>
          <w:rStyle w:val="normaltextrun"/>
          <w:rFonts w:ascii="Calibri" w:hAnsi="Calibri" w:cs="Calibri"/>
          <w:sz w:val="22"/>
          <w:szCs w:val="22"/>
        </w:rPr>
        <w:t>,</w:t>
      </w:r>
      <w:r w:rsidR="003912AE">
        <w:rPr>
          <w:rStyle w:val="normaltextrun"/>
          <w:rFonts w:ascii="Calibri" w:hAnsi="Calibri" w:cs="Calibri"/>
          <w:sz w:val="22"/>
          <w:szCs w:val="22"/>
        </w:rPr>
        <w:t xml:space="preserve"> withholding or</w:t>
      </w:r>
      <w:r w:rsidR="00D114C6">
        <w:rPr>
          <w:rStyle w:val="normaltextrun"/>
          <w:rFonts w:ascii="Calibri" w:hAnsi="Calibri" w:cs="Calibri"/>
          <w:sz w:val="22"/>
          <w:szCs w:val="22"/>
        </w:rPr>
        <w:t xml:space="preserve"> </w:t>
      </w:r>
      <w:r w:rsidR="00F7753A">
        <w:rPr>
          <w:rStyle w:val="normaltextrun"/>
          <w:rFonts w:ascii="Calibri" w:hAnsi="Calibri" w:cs="Calibri"/>
          <w:sz w:val="22"/>
          <w:szCs w:val="22"/>
        </w:rPr>
        <w:t>voting against the re-election of directors</w:t>
      </w:r>
      <w:r w:rsidR="008F5E31">
        <w:rPr>
          <w:rStyle w:val="normaltextrun"/>
          <w:rFonts w:ascii="Calibri" w:hAnsi="Calibri" w:cs="Calibri"/>
          <w:sz w:val="22"/>
          <w:szCs w:val="22"/>
        </w:rPr>
        <w:t xml:space="preserve"> or </w:t>
      </w:r>
      <w:r w:rsidR="00C76C5C">
        <w:rPr>
          <w:rStyle w:val="normaltextrun"/>
          <w:rFonts w:ascii="Calibri" w:hAnsi="Calibri" w:cs="Calibri"/>
          <w:sz w:val="22"/>
          <w:szCs w:val="22"/>
        </w:rPr>
        <w:t>pre-declaring voting</w:t>
      </w:r>
      <w:r w:rsidR="00F7753A">
        <w:rPr>
          <w:rStyle w:val="normaltextrun"/>
          <w:rFonts w:ascii="Calibri" w:hAnsi="Calibri" w:cs="Calibri"/>
          <w:sz w:val="22"/>
          <w:szCs w:val="22"/>
        </w:rPr>
        <w:t xml:space="preserve"> </w:t>
      </w:r>
      <w:r w:rsidR="00B11DA6">
        <w:rPr>
          <w:rStyle w:val="normaltextrun"/>
          <w:rFonts w:ascii="Calibri" w:hAnsi="Calibri" w:cs="Calibri"/>
          <w:sz w:val="22"/>
          <w:szCs w:val="22"/>
        </w:rPr>
        <w:t> </w:t>
      </w:r>
      <w:r w:rsidR="00B11DA6">
        <w:rPr>
          <w:rStyle w:val="eop"/>
          <w:rFonts w:ascii="Calibri" w:hAnsi="Calibri" w:cs="Calibri"/>
          <w:sz w:val="22"/>
          <w:szCs w:val="22"/>
        </w:rPr>
        <w:t> </w:t>
      </w:r>
      <w:r>
        <w:rPr>
          <w:rStyle w:val="eop"/>
          <w:rFonts w:ascii="Calibri" w:hAnsi="Calibri" w:cs="Calibri"/>
          <w:sz w:val="22"/>
          <w:szCs w:val="22"/>
        </w:rPr>
        <w:t> </w:t>
      </w:r>
    </w:p>
    <w:p w14:paraId="3EF591D6" w14:textId="77777777" w:rsidR="00E10CBF" w:rsidRDefault="00E10CBF" w:rsidP="00E10CBF">
      <w:pPr>
        <w:pStyle w:val="paragraph"/>
        <w:spacing w:before="0" w:beforeAutospacing="0" w:after="0" w:afterAutospacing="0"/>
        <w:textAlignment w:val="baseline"/>
        <w:rPr>
          <w:rStyle w:val="eop"/>
          <w:rFonts w:ascii="Calibri" w:hAnsi="Calibri" w:cs="Calibri"/>
          <w:sz w:val="22"/>
          <w:szCs w:val="22"/>
        </w:rPr>
      </w:pPr>
    </w:p>
    <w:p w14:paraId="3C353553" w14:textId="4990CCF1" w:rsidR="00BD60A1" w:rsidRDefault="00E10CBF" w:rsidP="003F20F5">
      <w:pPr>
        <w:rPr>
          <w:rStyle w:val="eop"/>
          <w:rFonts w:ascii="Calibri" w:hAnsi="Calibri" w:cs="Calibri"/>
        </w:rPr>
      </w:pPr>
      <w:r w:rsidRPr="00E10CBF">
        <w:rPr>
          <w:rStyle w:val="normaltextrun"/>
          <w:rFonts w:ascii="Calibri" w:hAnsi="Calibri" w:cs="Calibri"/>
          <w:b/>
          <w:bCs/>
        </w:rPr>
        <w:t>Scenario 3:</w:t>
      </w:r>
      <w:r w:rsidRPr="00E10CBF">
        <w:rPr>
          <w:rStyle w:val="normaltextrun"/>
          <w:rFonts w:ascii="Calibri" w:hAnsi="Calibri" w:cs="Calibri"/>
        </w:rPr>
        <w:t xml:space="preserve"> </w:t>
      </w:r>
      <w:r w:rsidR="00DB7E13" w:rsidRPr="00E10CBF">
        <w:rPr>
          <w:rStyle w:val="normaltextrun"/>
          <w:rFonts w:ascii="Calibri" w:hAnsi="Calibri" w:cs="Calibri"/>
        </w:rPr>
        <w:t xml:space="preserve">No initial response -&gt; additional letters and pressure by more members (not just lead/ support). No response by Q3 2023 -&gt; look </w:t>
      </w:r>
      <w:r w:rsidR="00CF464C">
        <w:rPr>
          <w:rStyle w:val="normaltextrun"/>
          <w:rFonts w:ascii="Calibri" w:hAnsi="Calibri" w:cs="Calibri"/>
        </w:rPr>
        <w:t>at</w:t>
      </w:r>
      <w:r w:rsidR="00957046">
        <w:rPr>
          <w:rStyle w:val="normaltextrun"/>
          <w:rFonts w:ascii="Calibri" w:hAnsi="Calibri" w:cs="Calibri"/>
        </w:rPr>
        <w:t xml:space="preserve"> options for escalation </w:t>
      </w:r>
      <w:r w:rsidR="00BD60A1">
        <w:rPr>
          <w:rStyle w:val="normaltextrun"/>
          <w:rFonts w:ascii="Calibri" w:hAnsi="Calibri" w:cs="Calibri"/>
        </w:rPr>
        <w:t>a</w:t>
      </w:r>
      <w:r w:rsidR="00957046">
        <w:rPr>
          <w:rStyle w:val="normaltextrun"/>
          <w:rFonts w:ascii="Calibri" w:hAnsi="Calibri" w:cs="Calibri"/>
        </w:rPr>
        <w:t>ppropriate to the jurisdiction,</w:t>
      </w:r>
      <w:r w:rsidR="00DB7E13" w:rsidRPr="00E10CBF">
        <w:rPr>
          <w:rStyle w:val="normaltextrun"/>
          <w:rFonts w:ascii="Calibri" w:hAnsi="Calibri" w:cs="Calibri"/>
        </w:rPr>
        <w:t xml:space="preserve"> asking for disclosure/ commitment (2024 proxy season).</w:t>
      </w:r>
      <w:r w:rsidR="00DB7E13" w:rsidRPr="00E10CBF">
        <w:rPr>
          <w:rStyle w:val="eop"/>
          <w:rFonts w:ascii="Calibri" w:hAnsi="Calibri" w:cs="Calibri"/>
        </w:rPr>
        <w:t> </w:t>
      </w:r>
    </w:p>
    <w:p w14:paraId="4FC93825" w14:textId="1C81D781" w:rsidR="003F20F5" w:rsidRDefault="003F20F5" w:rsidP="003F20F5">
      <w:r w:rsidRPr="008B6C40">
        <w:t>A</w:t>
      </w:r>
      <w:r w:rsidRPr="00312226">
        <w:t>ll members of the Initiative are independent fiduciaries and vote in accordance with their own voting principles, policies or guidelines and independent internal investment analysis. All members are responsible and accountable for their own voting decisions, including any pre-declaration or vote solicitation.</w:t>
      </w:r>
    </w:p>
    <w:p w14:paraId="7F83E865" w14:textId="241DBB0D" w:rsidR="00CF7D41" w:rsidRDefault="00CF7D41" w:rsidP="003F20F5">
      <w:r>
        <w:t>Divestment is never a preference of the initiative, however if an individual investor decides to do so it is at their own discretion.</w:t>
      </w:r>
    </w:p>
    <w:p w14:paraId="7082C9F3" w14:textId="77777777" w:rsidR="003F20F5" w:rsidRPr="00A31360" w:rsidRDefault="003F20F5" w:rsidP="00A31360">
      <w:pPr>
        <w:pStyle w:val="paragraph"/>
        <w:spacing w:before="0" w:beforeAutospacing="0" w:after="0" w:afterAutospacing="0"/>
        <w:textAlignment w:val="baseline"/>
        <w:rPr>
          <w:rFonts w:ascii="Calibri" w:hAnsi="Calibri" w:cs="Calibri"/>
          <w:sz w:val="22"/>
          <w:szCs w:val="22"/>
        </w:rPr>
      </w:pPr>
    </w:p>
    <w:p w14:paraId="01FAADAE" w14:textId="06830328" w:rsidR="00DB7E13" w:rsidRDefault="00DB7E13"/>
    <w:sectPr w:rsidR="00DB7E13">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9023" w14:textId="77777777" w:rsidR="004A5C87" w:rsidRDefault="004A5C87" w:rsidP="00B41E0D">
      <w:pPr>
        <w:spacing w:after="0" w:line="240" w:lineRule="auto"/>
      </w:pPr>
      <w:r>
        <w:separator/>
      </w:r>
    </w:p>
  </w:endnote>
  <w:endnote w:type="continuationSeparator" w:id="0">
    <w:p w14:paraId="736349CF" w14:textId="77777777" w:rsidR="004A5C87" w:rsidRDefault="004A5C87" w:rsidP="00B4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86CF" w14:textId="77777777" w:rsidR="004A5C87" w:rsidRDefault="004A5C87" w:rsidP="00B41E0D">
      <w:pPr>
        <w:spacing w:after="0" w:line="240" w:lineRule="auto"/>
      </w:pPr>
      <w:r>
        <w:separator/>
      </w:r>
    </w:p>
  </w:footnote>
  <w:footnote w:type="continuationSeparator" w:id="0">
    <w:p w14:paraId="4644F527" w14:textId="77777777" w:rsidR="004A5C87" w:rsidRDefault="004A5C87" w:rsidP="00B41E0D">
      <w:pPr>
        <w:spacing w:after="0" w:line="240" w:lineRule="auto"/>
      </w:pPr>
      <w:r>
        <w:continuationSeparator/>
      </w:r>
    </w:p>
  </w:footnote>
  <w:footnote w:id="1">
    <w:p w14:paraId="4E595217" w14:textId="0ECDFC78" w:rsidR="006D7E98" w:rsidRPr="006D7E98" w:rsidRDefault="006D7E98">
      <w:pPr>
        <w:pStyle w:val="FootnoteText"/>
        <w:rPr>
          <w:lang w:val="en-US"/>
        </w:rPr>
      </w:pPr>
      <w:r>
        <w:rPr>
          <w:rStyle w:val="FootnoteReference"/>
        </w:rPr>
        <w:footnoteRef/>
      </w:r>
      <w:r>
        <w:t xml:space="preserve"> </w:t>
      </w:r>
      <w:r w:rsidR="004148BC">
        <w:rPr>
          <w:lang w:val="en-US"/>
        </w:rPr>
        <w:t xml:space="preserve">Ringfencing </w:t>
      </w:r>
      <w:proofErr w:type="spellStart"/>
      <w:r w:rsidR="004148BC">
        <w:rPr>
          <w:lang w:val="en-US"/>
        </w:rPr>
        <w:t>labour</w:t>
      </w:r>
      <w:proofErr w:type="spellEnd"/>
      <w:r w:rsidR="004148BC">
        <w:rPr>
          <w:lang w:val="en-US"/>
        </w:rPr>
        <w:t xml:space="preserve"> costs </w:t>
      </w:r>
      <w:r w:rsidR="007E66E3">
        <w:rPr>
          <w:lang w:val="en-US"/>
        </w:rPr>
        <w:t xml:space="preserve">requires engagement with suppliers to </w:t>
      </w:r>
      <w:r w:rsidR="003B6E9D">
        <w:rPr>
          <w:lang w:val="en-US"/>
        </w:rPr>
        <w:t xml:space="preserve">assign and set aside the cost of </w:t>
      </w:r>
      <w:proofErr w:type="spellStart"/>
      <w:r w:rsidR="003B6E9D">
        <w:rPr>
          <w:lang w:val="en-US"/>
        </w:rPr>
        <w:t>labour</w:t>
      </w:r>
      <w:proofErr w:type="spellEnd"/>
      <w:r w:rsidR="003B6E9D">
        <w:rPr>
          <w:lang w:val="en-US"/>
        </w:rPr>
        <w:t xml:space="preserve"> based on </w:t>
      </w:r>
      <w:r w:rsidR="00C6071D">
        <w:rPr>
          <w:lang w:val="en-US"/>
        </w:rPr>
        <w:t xml:space="preserve">factors specific to the supplier and the order to ensure that the cost is not infringed upon. See </w:t>
      </w:r>
      <w:hyperlink r:id="rId1" w:history="1">
        <w:r w:rsidR="00C6071D" w:rsidRPr="00DD6987">
          <w:rPr>
            <w:rStyle w:val="Hyperlink"/>
            <w:lang w:val="en-US"/>
          </w:rPr>
          <w:t>here</w:t>
        </w:r>
      </w:hyperlink>
      <w:r w:rsidR="00C6071D">
        <w:rPr>
          <w:lang w:val="en-US"/>
        </w:rPr>
        <w:t xml:space="preserve"> for more detail.</w:t>
      </w:r>
    </w:p>
  </w:footnote>
  <w:footnote w:id="2">
    <w:p w14:paraId="1B08E4FB" w14:textId="1C066916" w:rsidR="00FF23C2" w:rsidRPr="00FF23C2" w:rsidRDefault="00FF23C2">
      <w:pPr>
        <w:pStyle w:val="FootnoteText"/>
        <w:rPr>
          <w:lang w:val="en-US"/>
        </w:rPr>
      </w:pPr>
      <w:r>
        <w:rPr>
          <w:rStyle w:val="FootnoteReference"/>
        </w:rPr>
        <w:footnoteRef/>
      </w:r>
      <w:r>
        <w:t xml:space="preserve"> </w:t>
      </w:r>
      <w:r>
        <w:rPr>
          <w:lang w:val="en-US"/>
        </w:rPr>
        <w:t>See pp. 46-</w:t>
      </w:r>
      <w:r w:rsidR="00BA7EFA">
        <w:rPr>
          <w:lang w:val="en-US"/>
        </w:rPr>
        <w:t>52</w:t>
      </w:r>
      <w:r w:rsidR="009961AD">
        <w:rPr>
          <w:lang w:val="en-US"/>
        </w:rPr>
        <w:t xml:space="preserve"> of the </w:t>
      </w:r>
      <w:hyperlink r:id="rId2" w:history="1">
        <w:r w:rsidR="009961AD" w:rsidRPr="00A43DA2">
          <w:rPr>
            <w:rStyle w:val="Hyperlink"/>
            <w:lang w:val="en-US"/>
          </w:rPr>
          <w:t>2021</w:t>
        </w:r>
        <w:r w:rsidR="00A43DA2" w:rsidRPr="00A43DA2">
          <w:rPr>
            <w:rStyle w:val="Hyperlink"/>
            <w:lang w:val="en-US"/>
          </w:rPr>
          <w:t xml:space="preserve"> KnowTheChain</w:t>
        </w:r>
        <w:r w:rsidR="009961AD" w:rsidRPr="00A43DA2">
          <w:rPr>
            <w:rStyle w:val="Hyperlink"/>
            <w:lang w:val="en-US"/>
          </w:rPr>
          <w:t xml:space="preserve"> Apparel and Footwear Benchmark Report</w:t>
        </w:r>
      </w:hyperlink>
      <w:r w:rsidR="00BA7EFA">
        <w:rPr>
          <w:lang w:val="en-US"/>
        </w:rPr>
        <w:t xml:space="preserve"> for good practice examples of responsible purchasing practices.</w:t>
      </w:r>
    </w:p>
  </w:footnote>
  <w:footnote w:id="3">
    <w:p w14:paraId="50D997B4" w14:textId="34AC86CA" w:rsidR="0035792A" w:rsidRPr="0035792A" w:rsidRDefault="0035792A">
      <w:pPr>
        <w:pStyle w:val="FootnoteText"/>
        <w:rPr>
          <w:lang w:val="en-US"/>
        </w:rPr>
      </w:pPr>
      <w:r>
        <w:rPr>
          <w:rStyle w:val="FootnoteReference"/>
        </w:rPr>
        <w:footnoteRef/>
      </w:r>
      <w:r>
        <w:t xml:space="preserve"> </w:t>
      </w:r>
      <w:r>
        <w:rPr>
          <w:lang w:val="en-US"/>
        </w:rPr>
        <w:t xml:space="preserve">See pp. </w:t>
      </w:r>
      <w:r w:rsidR="000D009A">
        <w:rPr>
          <w:lang w:val="en-US"/>
        </w:rPr>
        <w:t xml:space="preserve">63-65 of the </w:t>
      </w:r>
      <w:hyperlink r:id="rId3" w:history="1">
        <w:r w:rsidR="000D009A" w:rsidRPr="00A43DA2">
          <w:rPr>
            <w:rStyle w:val="Hyperlink"/>
            <w:lang w:val="en-US"/>
          </w:rPr>
          <w:t>2021 KnowTheChain Apparel and Footwear Benchmark Report</w:t>
        </w:r>
      </w:hyperlink>
      <w:r w:rsidR="000D009A">
        <w:rPr>
          <w:lang w:val="en-US"/>
        </w:rPr>
        <w:t xml:space="preserve"> for </w:t>
      </w:r>
      <w:r w:rsidR="00FD2C7A">
        <w:rPr>
          <w:lang w:val="en-US"/>
        </w:rPr>
        <w:t xml:space="preserve">examples of freedom of association and collective bargaining in company supply chains. </w:t>
      </w:r>
    </w:p>
  </w:footnote>
  <w:footnote w:id="4">
    <w:p w14:paraId="4F3D1D57" w14:textId="1A37670B" w:rsidR="009D39F5" w:rsidRPr="009D39F5" w:rsidRDefault="009D39F5">
      <w:pPr>
        <w:pStyle w:val="FootnoteText"/>
        <w:rPr>
          <w:lang w:val="en-US"/>
        </w:rPr>
      </w:pPr>
      <w:r>
        <w:rPr>
          <w:rStyle w:val="FootnoteReference"/>
        </w:rPr>
        <w:footnoteRef/>
      </w:r>
      <w:r>
        <w:t xml:space="preserve"> </w:t>
      </w:r>
      <w:r>
        <w:rPr>
          <w:lang w:val="en-US"/>
        </w:rPr>
        <w:t xml:space="preserve">See p. 6 of </w:t>
      </w:r>
      <w:hyperlink r:id="rId4" w:history="1">
        <w:r w:rsidRPr="00E02B39">
          <w:rPr>
            <w:rStyle w:val="Hyperlink"/>
            <w:lang w:val="en-US"/>
          </w:rPr>
          <w:t>this report</w:t>
        </w:r>
      </w:hyperlink>
      <w:r>
        <w:rPr>
          <w:lang w:val="en-US"/>
        </w:rPr>
        <w:t xml:space="preserve"> for further detail on </w:t>
      </w:r>
      <w:r w:rsidR="006E58E8">
        <w:rPr>
          <w:lang w:val="en-US"/>
        </w:rPr>
        <w:t>the rationale of various types of agreements</w:t>
      </w:r>
      <w:r w:rsidR="00E02B39">
        <w:rPr>
          <w:lang w:val="en-US"/>
        </w:rPr>
        <w:t xml:space="preserve"> affecting the relationship between companies and their supply chain workers. </w:t>
      </w:r>
    </w:p>
  </w:footnote>
  <w:footnote w:id="5">
    <w:p w14:paraId="35A43EE6" w14:textId="78944B2A" w:rsidR="00687211" w:rsidRDefault="00687211">
      <w:pPr>
        <w:pStyle w:val="FootnoteText"/>
      </w:pPr>
      <w:r>
        <w:rPr>
          <w:rStyle w:val="FootnoteReference"/>
        </w:rPr>
        <w:footnoteRef/>
      </w:r>
      <w:r>
        <w:t xml:space="preserve"> Pledges could be in the form of commitments and would not</w:t>
      </w:r>
      <w:r w:rsidR="00A56DCC">
        <w:t xml:space="preserve"> necessarily </w:t>
      </w:r>
      <w:r>
        <w:t>be expected</w:t>
      </w:r>
      <w:r w:rsidR="00A56DCC">
        <w:t xml:space="preserve"> within the timeframe of the 2023 benchmark.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B4EA" w14:textId="6411EA66" w:rsidR="000C5C71" w:rsidRDefault="003A723F">
    <w:pPr>
      <w:pStyle w:val="Header"/>
    </w:pPr>
    <w:r>
      <w:rPr>
        <w:noProof/>
      </w:rPr>
      <w:drawing>
        <wp:anchor distT="0" distB="0" distL="114300" distR="114300" simplePos="0" relativeHeight="251658752" behindDoc="0" locked="0" layoutInCell="1" allowOverlap="1" wp14:anchorId="46022C85" wp14:editId="74847A39">
          <wp:simplePos x="0" y="0"/>
          <wp:positionH relativeFrom="margin">
            <wp:posOffset>4610100</wp:posOffset>
          </wp:positionH>
          <wp:positionV relativeFrom="margin">
            <wp:posOffset>-639445</wp:posOffset>
          </wp:positionV>
          <wp:extent cx="1361440" cy="524510"/>
          <wp:effectExtent l="0" t="0" r="0" b="889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61440" cy="524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8A18B20" wp14:editId="54ABAAD1">
          <wp:extent cx="1059815" cy="463975"/>
          <wp:effectExtent l="0" t="0" r="698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2">
                    <a:extLst>
                      <a:ext uri="{28A0092B-C50C-407E-A947-70E740481C1C}">
                        <a14:useLocalDpi xmlns:a14="http://schemas.microsoft.com/office/drawing/2010/main" val="0"/>
                      </a:ext>
                    </a:extLst>
                  </a:blip>
                  <a:srcRect l="6400" t="6729" r="6752" b="13372"/>
                  <a:stretch/>
                </pic:blipFill>
                <pic:spPr bwMode="auto">
                  <a:xfrm>
                    <a:off x="0" y="0"/>
                    <a:ext cx="1068528" cy="4677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A1E"/>
    <w:multiLevelType w:val="multilevel"/>
    <w:tmpl w:val="62BC275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 w15:restartNumberingAfterBreak="0">
    <w:nsid w:val="08A30F5A"/>
    <w:multiLevelType w:val="hybridMultilevel"/>
    <w:tmpl w:val="3378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C1CE8"/>
    <w:multiLevelType w:val="hybridMultilevel"/>
    <w:tmpl w:val="2DB8492C"/>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1774006B"/>
    <w:multiLevelType w:val="hybridMultilevel"/>
    <w:tmpl w:val="516AA58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D4BC6"/>
    <w:multiLevelType w:val="multilevel"/>
    <w:tmpl w:val="82B2763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91C791B"/>
    <w:multiLevelType w:val="multilevel"/>
    <w:tmpl w:val="81D0A39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1B7768E8"/>
    <w:multiLevelType w:val="hybridMultilevel"/>
    <w:tmpl w:val="083A0C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7E1294"/>
    <w:multiLevelType w:val="multilevel"/>
    <w:tmpl w:val="EECA7E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3EA0472"/>
    <w:multiLevelType w:val="multilevel"/>
    <w:tmpl w:val="4C363CB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9" w15:restartNumberingAfterBreak="0">
    <w:nsid w:val="25090C1C"/>
    <w:multiLevelType w:val="hybridMultilevel"/>
    <w:tmpl w:val="A658EB12"/>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2E3844EC"/>
    <w:multiLevelType w:val="hybridMultilevel"/>
    <w:tmpl w:val="C6B0C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F06CF7"/>
    <w:multiLevelType w:val="hybridMultilevel"/>
    <w:tmpl w:val="A008BE38"/>
    <w:lvl w:ilvl="0" w:tplc="F96C2730">
      <w:start w:val="2"/>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15000"/>
    <w:multiLevelType w:val="multilevel"/>
    <w:tmpl w:val="8E000ED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693355"/>
    <w:multiLevelType w:val="multilevel"/>
    <w:tmpl w:val="28F47BF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4" w15:restartNumberingAfterBreak="0">
    <w:nsid w:val="375E5B8E"/>
    <w:multiLevelType w:val="multilevel"/>
    <w:tmpl w:val="36C202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B492EAF"/>
    <w:multiLevelType w:val="multilevel"/>
    <w:tmpl w:val="5C826A8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6" w15:restartNumberingAfterBreak="0">
    <w:nsid w:val="3ED110A0"/>
    <w:multiLevelType w:val="multilevel"/>
    <w:tmpl w:val="D410064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904F24"/>
    <w:multiLevelType w:val="multilevel"/>
    <w:tmpl w:val="B0E260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7647A45"/>
    <w:multiLevelType w:val="multilevel"/>
    <w:tmpl w:val="E68AF3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2C1452"/>
    <w:multiLevelType w:val="hybridMultilevel"/>
    <w:tmpl w:val="629E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F3C4E"/>
    <w:multiLevelType w:val="hybridMultilevel"/>
    <w:tmpl w:val="55F29CBA"/>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2223BF7"/>
    <w:multiLevelType w:val="hybridMultilevel"/>
    <w:tmpl w:val="7A38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94477B"/>
    <w:multiLevelType w:val="hybridMultilevel"/>
    <w:tmpl w:val="F5E4AC8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AAE1409"/>
    <w:multiLevelType w:val="multilevel"/>
    <w:tmpl w:val="C73837C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4" w15:restartNumberingAfterBreak="0">
    <w:nsid w:val="64501616"/>
    <w:multiLevelType w:val="multilevel"/>
    <w:tmpl w:val="154A12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D8973D9"/>
    <w:multiLevelType w:val="multilevel"/>
    <w:tmpl w:val="4072C1D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6" w15:restartNumberingAfterBreak="0">
    <w:nsid w:val="6E494189"/>
    <w:multiLevelType w:val="multilevel"/>
    <w:tmpl w:val="C5FC0F8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7" w15:restartNumberingAfterBreak="0">
    <w:nsid w:val="6FAF4CD8"/>
    <w:multiLevelType w:val="multilevel"/>
    <w:tmpl w:val="63460F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8CB5397"/>
    <w:multiLevelType w:val="hybridMultilevel"/>
    <w:tmpl w:val="00EA73C6"/>
    <w:lvl w:ilvl="0" w:tplc="08090015">
      <w:start w:val="1"/>
      <w:numFmt w:val="upp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020397274">
    <w:abstractNumId w:val="27"/>
  </w:num>
  <w:num w:numId="2" w16cid:durableId="6833136">
    <w:abstractNumId w:val="25"/>
  </w:num>
  <w:num w:numId="3" w16cid:durableId="87846664">
    <w:abstractNumId w:val="17"/>
  </w:num>
  <w:num w:numId="4" w16cid:durableId="1181892913">
    <w:abstractNumId w:val="0"/>
  </w:num>
  <w:num w:numId="5" w16cid:durableId="1021273297">
    <w:abstractNumId w:val="23"/>
  </w:num>
  <w:num w:numId="6" w16cid:durableId="1925413889">
    <w:abstractNumId w:val="26"/>
  </w:num>
  <w:num w:numId="7" w16cid:durableId="41295311">
    <w:abstractNumId w:val="13"/>
  </w:num>
  <w:num w:numId="8" w16cid:durableId="970011654">
    <w:abstractNumId w:val="14"/>
  </w:num>
  <w:num w:numId="9" w16cid:durableId="239217121">
    <w:abstractNumId w:val="8"/>
  </w:num>
  <w:num w:numId="10" w16cid:durableId="1287273062">
    <w:abstractNumId w:val="24"/>
  </w:num>
  <w:num w:numId="11" w16cid:durableId="746657791">
    <w:abstractNumId w:val="4"/>
  </w:num>
  <w:num w:numId="12" w16cid:durableId="1340933077">
    <w:abstractNumId w:val="5"/>
  </w:num>
  <w:num w:numId="13" w16cid:durableId="766463272">
    <w:abstractNumId w:val="15"/>
  </w:num>
  <w:num w:numId="14" w16cid:durableId="1166164634">
    <w:abstractNumId w:val="7"/>
  </w:num>
  <w:num w:numId="15" w16cid:durableId="1736468857">
    <w:abstractNumId w:val="3"/>
  </w:num>
  <w:num w:numId="16" w16cid:durableId="1753504087">
    <w:abstractNumId w:val="6"/>
  </w:num>
  <w:num w:numId="17" w16cid:durableId="2113548257">
    <w:abstractNumId w:val="28"/>
  </w:num>
  <w:num w:numId="18" w16cid:durableId="579141980">
    <w:abstractNumId w:val="22"/>
  </w:num>
  <w:num w:numId="19" w16cid:durableId="1737778044">
    <w:abstractNumId w:val="20"/>
  </w:num>
  <w:num w:numId="20" w16cid:durableId="1248154839">
    <w:abstractNumId w:val="2"/>
  </w:num>
  <w:num w:numId="21" w16cid:durableId="2121601575">
    <w:abstractNumId w:val="16"/>
  </w:num>
  <w:num w:numId="22" w16cid:durableId="137771838">
    <w:abstractNumId w:val="18"/>
  </w:num>
  <w:num w:numId="23" w16cid:durableId="1540779529">
    <w:abstractNumId w:val="12"/>
  </w:num>
  <w:num w:numId="24" w16cid:durableId="478036089">
    <w:abstractNumId w:val="9"/>
  </w:num>
  <w:num w:numId="25" w16cid:durableId="1938177802">
    <w:abstractNumId w:val="10"/>
  </w:num>
  <w:num w:numId="26" w16cid:durableId="1251085041">
    <w:abstractNumId w:val="11"/>
  </w:num>
  <w:num w:numId="27" w16cid:durableId="1071539309">
    <w:abstractNumId w:val="1"/>
  </w:num>
  <w:num w:numId="28" w16cid:durableId="1198618450">
    <w:abstractNumId w:val="21"/>
  </w:num>
  <w:num w:numId="29" w16cid:durableId="12543163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13"/>
    <w:rsid w:val="00002EF7"/>
    <w:rsid w:val="000113FD"/>
    <w:rsid w:val="0001700B"/>
    <w:rsid w:val="00025486"/>
    <w:rsid w:val="000328F6"/>
    <w:rsid w:val="000350D5"/>
    <w:rsid w:val="000518FE"/>
    <w:rsid w:val="000534A3"/>
    <w:rsid w:val="00054201"/>
    <w:rsid w:val="00061C6C"/>
    <w:rsid w:val="0006248E"/>
    <w:rsid w:val="000673B2"/>
    <w:rsid w:val="000808A3"/>
    <w:rsid w:val="00085C48"/>
    <w:rsid w:val="00087C8C"/>
    <w:rsid w:val="00092931"/>
    <w:rsid w:val="00093469"/>
    <w:rsid w:val="000945B7"/>
    <w:rsid w:val="00095A37"/>
    <w:rsid w:val="00095C2E"/>
    <w:rsid w:val="000A117D"/>
    <w:rsid w:val="000A568D"/>
    <w:rsid w:val="000A6B3E"/>
    <w:rsid w:val="000B18B3"/>
    <w:rsid w:val="000B3121"/>
    <w:rsid w:val="000B3BC9"/>
    <w:rsid w:val="000B6946"/>
    <w:rsid w:val="000C5C71"/>
    <w:rsid w:val="000C612A"/>
    <w:rsid w:val="000D009A"/>
    <w:rsid w:val="000E4FA1"/>
    <w:rsid w:val="000E7668"/>
    <w:rsid w:val="000F3275"/>
    <w:rsid w:val="000F38CF"/>
    <w:rsid w:val="00105432"/>
    <w:rsid w:val="00105727"/>
    <w:rsid w:val="00114E2D"/>
    <w:rsid w:val="001178BB"/>
    <w:rsid w:val="00125472"/>
    <w:rsid w:val="00131378"/>
    <w:rsid w:val="00145F8C"/>
    <w:rsid w:val="00155FF0"/>
    <w:rsid w:val="00156642"/>
    <w:rsid w:val="00156F53"/>
    <w:rsid w:val="001652ED"/>
    <w:rsid w:val="001721EC"/>
    <w:rsid w:val="00175F83"/>
    <w:rsid w:val="001779BC"/>
    <w:rsid w:val="0019190C"/>
    <w:rsid w:val="00194142"/>
    <w:rsid w:val="00197E51"/>
    <w:rsid w:val="001D12C7"/>
    <w:rsid w:val="001D3082"/>
    <w:rsid w:val="001D362D"/>
    <w:rsid w:val="001D5E1B"/>
    <w:rsid w:val="001E1649"/>
    <w:rsid w:val="001E2D4B"/>
    <w:rsid w:val="001E3B72"/>
    <w:rsid w:val="001E4610"/>
    <w:rsid w:val="001E6D69"/>
    <w:rsid w:val="001F2299"/>
    <w:rsid w:val="001F3E4A"/>
    <w:rsid w:val="002137AD"/>
    <w:rsid w:val="002211A1"/>
    <w:rsid w:val="002220E3"/>
    <w:rsid w:val="002278EA"/>
    <w:rsid w:val="0023376A"/>
    <w:rsid w:val="0023508E"/>
    <w:rsid w:val="0023623B"/>
    <w:rsid w:val="00236DD1"/>
    <w:rsid w:val="00236E80"/>
    <w:rsid w:val="00251FD6"/>
    <w:rsid w:val="00254E6E"/>
    <w:rsid w:val="00256EC4"/>
    <w:rsid w:val="00262E8D"/>
    <w:rsid w:val="00263CE8"/>
    <w:rsid w:val="00274119"/>
    <w:rsid w:val="00275CD8"/>
    <w:rsid w:val="00283822"/>
    <w:rsid w:val="002A01AA"/>
    <w:rsid w:val="002B0630"/>
    <w:rsid w:val="002B0D1D"/>
    <w:rsid w:val="002B6D30"/>
    <w:rsid w:val="002D244F"/>
    <w:rsid w:val="002D2BCC"/>
    <w:rsid w:val="002E27B2"/>
    <w:rsid w:val="002E428B"/>
    <w:rsid w:val="002E4DA9"/>
    <w:rsid w:val="002E4EAE"/>
    <w:rsid w:val="002F6388"/>
    <w:rsid w:val="00300B4C"/>
    <w:rsid w:val="00312226"/>
    <w:rsid w:val="0031507E"/>
    <w:rsid w:val="003161E2"/>
    <w:rsid w:val="00316DB1"/>
    <w:rsid w:val="00327516"/>
    <w:rsid w:val="003320CC"/>
    <w:rsid w:val="00341BA2"/>
    <w:rsid w:val="003561CB"/>
    <w:rsid w:val="0035792A"/>
    <w:rsid w:val="00360FD8"/>
    <w:rsid w:val="00364813"/>
    <w:rsid w:val="00366216"/>
    <w:rsid w:val="0036798C"/>
    <w:rsid w:val="00373679"/>
    <w:rsid w:val="00380E48"/>
    <w:rsid w:val="003908D0"/>
    <w:rsid w:val="003912AE"/>
    <w:rsid w:val="003A1020"/>
    <w:rsid w:val="003A445E"/>
    <w:rsid w:val="003A46F5"/>
    <w:rsid w:val="003A723F"/>
    <w:rsid w:val="003B01C3"/>
    <w:rsid w:val="003B520B"/>
    <w:rsid w:val="003B6E9D"/>
    <w:rsid w:val="003C2C53"/>
    <w:rsid w:val="003C488D"/>
    <w:rsid w:val="003E5491"/>
    <w:rsid w:val="003F20F5"/>
    <w:rsid w:val="003F4297"/>
    <w:rsid w:val="00404E85"/>
    <w:rsid w:val="00410E00"/>
    <w:rsid w:val="004148BC"/>
    <w:rsid w:val="00420282"/>
    <w:rsid w:val="00431C0D"/>
    <w:rsid w:val="00452948"/>
    <w:rsid w:val="00452AB3"/>
    <w:rsid w:val="00460668"/>
    <w:rsid w:val="004629F4"/>
    <w:rsid w:val="0047518A"/>
    <w:rsid w:val="00477E5B"/>
    <w:rsid w:val="00477F70"/>
    <w:rsid w:val="00485F3F"/>
    <w:rsid w:val="00493240"/>
    <w:rsid w:val="004A5C87"/>
    <w:rsid w:val="004A70F8"/>
    <w:rsid w:val="004B31D0"/>
    <w:rsid w:val="004B7558"/>
    <w:rsid w:val="004C5F43"/>
    <w:rsid w:val="004C6602"/>
    <w:rsid w:val="004C7CD1"/>
    <w:rsid w:val="004F0185"/>
    <w:rsid w:val="00507FAD"/>
    <w:rsid w:val="00514151"/>
    <w:rsid w:val="00514BE2"/>
    <w:rsid w:val="00525849"/>
    <w:rsid w:val="0054604F"/>
    <w:rsid w:val="00565CD3"/>
    <w:rsid w:val="00574BD8"/>
    <w:rsid w:val="0058474E"/>
    <w:rsid w:val="0058646C"/>
    <w:rsid w:val="00586E3B"/>
    <w:rsid w:val="005A6A82"/>
    <w:rsid w:val="005B1B88"/>
    <w:rsid w:val="005C2365"/>
    <w:rsid w:val="005C7FB6"/>
    <w:rsid w:val="005E2A16"/>
    <w:rsid w:val="005F4F2D"/>
    <w:rsid w:val="005F5B2A"/>
    <w:rsid w:val="005F6833"/>
    <w:rsid w:val="006047A0"/>
    <w:rsid w:val="00605C4B"/>
    <w:rsid w:val="006216FC"/>
    <w:rsid w:val="00621A2B"/>
    <w:rsid w:val="00632BDB"/>
    <w:rsid w:val="006470BA"/>
    <w:rsid w:val="006512E1"/>
    <w:rsid w:val="00670FEC"/>
    <w:rsid w:val="00680BAB"/>
    <w:rsid w:val="00685F81"/>
    <w:rsid w:val="00687211"/>
    <w:rsid w:val="006A065D"/>
    <w:rsid w:val="006A3707"/>
    <w:rsid w:val="006B2C2A"/>
    <w:rsid w:val="006D3FF8"/>
    <w:rsid w:val="006D7BE4"/>
    <w:rsid w:val="006D7E98"/>
    <w:rsid w:val="006E2F5C"/>
    <w:rsid w:val="006E58E8"/>
    <w:rsid w:val="006F58EB"/>
    <w:rsid w:val="006F7785"/>
    <w:rsid w:val="00700100"/>
    <w:rsid w:val="00706110"/>
    <w:rsid w:val="00706281"/>
    <w:rsid w:val="00716815"/>
    <w:rsid w:val="00721434"/>
    <w:rsid w:val="0072381A"/>
    <w:rsid w:val="0072599A"/>
    <w:rsid w:val="00736884"/>
    <w:rsid w:val="00740617"/>
    <w:rsid w:val="007439FB"/>
    <w:rsid w:val="00744048"/>
    <w:rsid w:val="00747F8C"/>
    <w:rsid w:val="00757D58"/>
    <w:rsid w:val="00773C6C"/>
    <w:rsid w:val="007910F4"/>
    <w:rsid w:val="0079169D"/>
    <w:rsid w:val="007A0847"/>
    <w:rsid w:val="007A57DF"/>
    <w:rsid w:val="007A70C6"/>
    <w:rsid w:val="007A72A0"/>
    <w:rsid w:val="007B611D"/>
    <w:rsid w:val="007B743E"/>
    <w:rsid w:val="007C3393"/>
    <w:rsid w:val="007C6C57"/>
    <w:rsid w:val="007C75C7"/>
    <w:rsid w:val="007D6FE5"/>
    <w:rsid w:val="007E66E3"/>
    <w:rsid w:val="007E7746"/>
    <w:rsid w:val="007F10BD"/>
    <w:rsid w:val="007F51CA"/>
    <w:rsid w:val="0080049D"/>
    <w:rsid w:val="00805513"/>
    <w:rsid w:val="0081085B"/>
    <w:rsid w:val="00816CDC"/>
    <w:rsid w:val="00816EFC"/>
    <w:rsid w:val="008170F0"/>
    <w:rsid w:val="0082086F"/>
    <w:rsid w:val="008211AA"/>
    <w:rsid w:val="00825F27"/>
    <w:rsid w:val="00855114"/>
    <w:rsid w:val="008679AE"/>
    <w:rsid w:val="00887154"/>
    <w:rsid w:val="00890486"/>
    <w:rsid w:val="008A5750"/>
    <w:rsid w:val="008B0C26"/>
    <w:rsid w:val="008C4569"/>
    <w:rsid w:val="008E51C8"/>
    <w:rsid w:val="008F5E31"/>
    <w:rsid w:val="009039E8"/>
    <w:rsid w:val="00907D9F"/>
    <w:rsid w:val="00907ED7"/>
    <w:rsid w:val="00914149"/>
    <w:rsid w:val="009368EA"/>
    <w:rsid w:val="00953FD5"/>
    <w:rsid w:val="00957046"/>
    <w:rsid w:val="00964ED3"/>
    <w:rsid w:val="00967BC4"/>
    <w:rsid w:val="00972CDE"/>
    <w:rsid w:val="00983C95"/>
    <w:rsid w:val="0098771F"/>
    <w:rsid w:val="009948FA"/>
    <w:rsid w:val="009961AD"/>
    <w:rsid w:val="00997054"/>
    <w:rsid w:val="009A4DF1"/>
    <w:rsid w:val="009A6F92"/>
    <w:rsid w:val="009B174B"/>
    <w:rsid w:val="009C5759"/>
    <w:rsid w:val="009C5CF1"/>
    <w:rsid w:val="009D39F5"/>
    <w:rsid w:val="009E2ECC"/>
    <w:rsid w:val="00A13590"/>
    <w:rsid w:val="00A20CE3"/>
    <w:rsid w:val="00A27932"/>
    <w:rsid w:val="00A31360"/>
    <w:rsid w:val="00A37E1E"/>
    <w:rsid w:val="00A43DA2"/>
    <w:rsid w:val="00A46335"/>
    <w:rsid w:val="00A4697B"/>
    <w:rsid w:val="00A51EA9"/>
    <w:rsid w:val="00A56DCC"/>
    <w:rsid w:val="00A81283"/>
    <w:rsid w:val="00A85A80"/>
    <w:rsid w:val="00A9104B"/>
    <w:rsid w:val="00A97587"/>
    <w:rsid w:val="00AA44CD"/>
    <w:rsid w:val="00AA5A6E"/>
    <w:rsid w:val="00AD3707"/>
    <w:rsid w:val="00AE14C2"/>
    <w:rsid w:val="00AF6E8C"/>
    <w:rsid w:val="00B046B6"/>
    <w:rsid w:val="00B049A7"/>
    <w:rsid w:val="00B11DA6"/>
    <w:rsid w:val="00B1607A"/>
    <w:rsid w:val="00B20C00"/>
    <w:rsid w:val="00B25D67"/>
    <w:rsid w:val="00B260BC"/>
    <w:rsid w:val="00B41E0D"/>
    <w:rsid w:val="00B42572"/>
    <w:rsid w:val="00B45217"/>
    <w:rsid w:val="00B57687"/>
    <w:rsid w:val="00B63D74"/>
    <w:rsid w:val="00B64EAA"/>
    <w:rsid w:val="00B833F6"/>
    <w:rsid w:val="00B83505"/>
    <w:rsid w:val="00B862BD"/>
    <w:rsid w:val="00B900BA"/>
    <w:rsid w:val="00B95FD1"/>
    <w:rsid w:val="00BA4EF9"/>
    <w:rsid w:val="00BA7EFA"/>
    <w:rsid w:val="00BB7657"/>
    <w:rsid w:val="00BB77D4"/>
    <w:rsid w:val="00BD60A1"/>
    <w:rsid w:val="00BD663B"/>
    <w:rsid w:val="00BE03B9"/>
    <w:rsid w:val="00BF04C1"/>
    <w:rsid w:val="00C07925"/>
    <w:rsid w:val="00C13A38"/>
    <w:rsid w:val="00C14229"/>
    <w:rsid w:val="00C1742F"/>
    <w:rsid w:val="00C20B47"/>
    <w:rsid w:val="00C20CD6"/>
    <w:rsid w:val="00C278BD"/>
    <w:rsid w:val="00C31007"/>
    <w:rsid w:val="00C325BC"/>
    <w:rsid w:val="00C4557E"/>
    <w:rsid w:val="00C477C7"/>
    <w:rsid w:val="00C51DAB"/>
    <w:rsid w:val="00C54047"/>
    <w:rsid w:val="00C54E95"/>
    <w:rsid w:val="00C6071D"/>
    <w:rsid w:val="00C629BC"/>
    <w:rsid w:val="00C6778F"/>
    <w:rsid w:val="00C76C5C"/>
    <w:rsid w:val="00C96D54"/>
    <w:rsid w:val="00CA2219"/>
    <w:rsid w:val="00CA2AE7"/>
    <w:rsid w:val="00CA5961"/>
    <w:rsid w:val="00CB0293"/>
    <w:rsid w:val="00CB067E"/>
    <w:rsid w:val="00CB21FC"/>
    <w:rsid w:val="00CC71D3"/>
    <w:rsid w:val="00CD33C6"/>
    <w:rsid w:val="00CE785F"/>
    <w:rsid w:val="00CF384A"/>
    <w:rsid w:val="00CF464C"/>
    <w:rsid w:val="00CF5130"/>
    <w:rsid w:val="00CF719C"/>
    <w:rsid w:val="00CF7D41"/>
    <w:rsid w:val="00D00076"/>
    <w:rsid w:val="00D04E2D"/>
    <w:rsid w:val="00D0763A"/>
    <w:rsid w:val="00D114C6"/>
    <w:rsid w:val="00D31388"/>
    <w:rsid w:val="00D34029"/>
    <w:rsid w:val="00D3632C"/>
    <w:rsid w:val="00D420B7"/>
    <w:rsid w:val="00D4303E"/>
    <w:rsid w:val="00D4386C"/>
    <w:rsid w:val="00D45998"/>
    <w:rsid w:val="00D46ED9"/>
    <w:rsid w:val="00D81E30"/>
    <w:rsid w:val="00D84AF3"/>
    <w:rsid w:val="00D84C63"/>
    <w:rsid w:val="00D86C60"/>
    <w:rsid w:val="00D901B5"/>
    <w:rsid w:val="00DA07B1"/>
    <w:rsid w:val="00DA0A75"/>
    <w:rsid w:val="00DA0FCF"/>
    <w:rsid w:val="00DA7A6D"/>
    <w:rsid w:val="00DB3B34"/>
    <w:rsid w:val="00DB7405"/>
    <w:rsid w:val="00DB7E13"/>
    <w:rsid w:val="00DC147F"/>
    <w:rsid w:val="00DC5689"/>
    <w:rsid w:val="00DC7B33"/>
    <w:rsid w:val="00DD048A"/>
    <w:rsid w:val="00DD1C87"/>
    <w:rsid w:val="00DD1CC9"/>
    <w:rsid w:val="00DD6987"/>
    <w:rsid w:val="00E02B39"/>
    <w:rsid w:val="00E10CBF"/>
    <w:rsid w:val="00E22158"/>
    <w:rsid w:val="00E35DAF"/>
    <w:rsid w:val="00E36654"/>
    <w:rsid w:val="00E402B8"/>
    <w:rsid w:val="00E5416F"/>
    <w:rsid w:val="00E65F6C"/>
    <w:rsid w:val="00E70154"/>
    <w:rsid w:val="00E715B9"/>
    <w:rsid w:val="00E72AF2"/>
    <w:rsid w:val="00E75DA8"/>
    <w:rsid w:val="00E81482"/>
    <w:rsid w:val="00E83A12"/>
    <w:rsid w:val="00EA7231"/>
    <w:rsid w:val="00EB09EC"/>
    <w:rsid w:val="00EB50AB"/>
    <w:rsid w:val="00EC5A1C"/>
    <w:rsid w:val="00ED3971"/>
    <w:rsid w:val="00ED3E02"/>
    <w:rsid w:val="00ED5A76"/>
    <w:rsid w:val="00EE3A7C"/>
    <w:rsid w:val="00EF4234"/>
    <w:rsid w:val="00EF5176"/>
    <w:rsid w:val="00F02E34"/>
    <w:rsid w:val="00F061F8"/>
    <w:rsid w:val="00F16944"/>
    <w:rsid w:val="00F1694B"/>
    <w:rsid w:val="00F17143"/>
    <w:rsid w:val="00F20D14"/>
    <w:rsid w:val="00F275D6"/>
    <w:rsid w:val="00F40F64"/>
    <w:rsid w:val="00F5156E"/>
    <w:rsid w:val="00F52F98"/>
    <w:rsid w:val="00F67A14"/>
    <w:rsid w:val="00F76078"/>
    <w:rsid w:val="00F7753A"/>
    <w:rsid w:val="00FA3CD9"/>
    <w:rsid w:val="00FD2C7A"/>
    <w:rsid w:val="00FD630E"/>
    <w:rsid w:val="00FE42F1"/>
    <w:rsid w:val="00FE482A"/>
    <w:rsid w:val="00FE49C2"/>
    <w:rsid w:val="00FE7F22"/>
    <w:rsid w:val="00FF23C2"/>
    <w:rsid w:val="00FF66B1"/>
    <w:rsid w:val="00FF6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3CEB9"/>
  <w15:chartTrackingRefBased/>
  <w15:docId w15:val="{B6DFBA14-4DDE-4E50-9603-FB1B81DF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E51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E51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B7E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7E13"/>
  </w:style>
  <w:style w:type="character" w:customStyle="1" w:styleId="eop">
    <w:name w:val="eop"/>
    <w:basedOn w:val="DefaultParagraphFont"/>
    <w:rsid w:val="00DB7E13"/>
  </w:style>
  <w:style w:type="character" w:customStyle="1" w:styleId="spellingerror">
    <w:name w:val="spellingerror"/>
    <w:basedOn w:val="DefaultParagraphFont"/>
    <w:rsid w:val="00721434"/>
  </w:style>
  <w:style w:type="paragraph" w:styleId="Header">
    <w:name w:val="header"/>
    <w:basedOn w:val="Normal"/>
    <w:link w:val="HeaderChar"/>
    <w:uiPriority w:val="99"/>
    <w:unhideWhenUsed/>
    <w:rsid w:val="00B41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E0D"/>
  </w:style>
  <w:style w:type="paragraph" w:styleId="Footer">
    <w:name w:val="footer"/>
    <w:basedOn w:val="Normal"/>
    <w:link w:val="FooterChar"/>
    <w:uiPriority w:val="99"/>
    <w:unhideWhenUsed/>
    <w:rsid w:val="00B41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E0D"/>
  </w:style>
  <w:style w:type="character" w:customStyle="1" w:styleId="Heading2Char">
    <w:name w:val="Heading 2 Char"/>
    <w:basedOn w:val="DefaultParagraphFont"/>
    <w:link w:val="Heading2"/>
    <w:uiPriority w:val="9"/>
    <w:rsid w:val="008E51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E51C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D3971"/>
    <w:rPr>
      <w:color w:val="0000FF"/>
      <w:u w:val="single"/>
    </w:rPr>
  </w:style>
  <w:style w:type="character" w:styleId="CommentReference">
    <w:name w:val="annotation reference"/>
    <w:basedOn w:val="DefaultParagraphFont"/>
    <w:uiPriority w:val="99"/>
    <w:semiHidden/>
    <w:unhideWhenUsed/>
    <w:rsid w:val="000A568D"/>
    <w:rPr>
      <w:sz w:val="16"/>
      <w:szCs w:val="16"/>
    </w:rPr>
  </w:style>
  <w:style w:type="paragraph" w:styleId="CommentText">
    <w:name w:val="annotation text"/>
    <w:basedOn w:val="Normal"/>
    <w:link w:val="CommentTextChar"/>
    <w:uiPriority w:val="99"/>
    <w:unhideWhenUsed/>
    <w:rsid w:val="000A568D"/>
    <w:pPr>
      <w:spacing w:line="240" w:lineRule="auto"/>
    </w:pPr>
    <w:rPr>
      <w:sz w:val="20"/>
      <w:szCs w:val="20"/>
    </w:rPr>
  </w:style>
  <w:style w:type="character" w:customStyle="1" w:styleId="CommentTextChar">
    <w:name w:val="Comment Text Char"/>
    <w:basedOn w:val="DefaultParagraphFont"/>
    <w:link w:val="CommentText"/>
    <w:uiPriority w:val="99"/>
    <w:rsid w:val="000A568D"/>
    <w:rPr>
      <w:sz w:val="20"/>
      <w:szCs w:val="20"/>
    </w:rPr>
  </w:style>
  <w:style w:type="paragraph" w:styleId="CommentSubject">
    <w:name w:val="annotation subject"/>
    <w:basedOn w:val="CommentText"/>
    <w:next w:val="CommentText"/>
    <w:link w:val="CommentSubjectChar"/>
    <w:uiPriority w:val="99"/>
    <w:semiHidden/>
    <w:unhideWhenUsed/>
    <w:rsid w:val="000A568D"/>
    <w:rPr>
      <w:b/>
      <w:bCs/>
    </w:rPr>
  </w:style>
  <w:style w:type="character" w:customStyle="1" w:styleId="CommentSubjectChar">
    <w:name w:val="Comment Subject Char"/>
    <w:basedOn w:val="CommentTextChar"/>
    <w:link w:val="CommentSubject"/>
    <w:uiPriority w:val="99"/>
    <w:semiHidden/>
    <w:rsid w:val="000A568D"/>
    <w:rPr>
      <w:b/>
      <w:bCs/>
      <w:sz w:val="20"/>
      <w:szCs w:val="20"/>
    </w:rPr>
  </w:style>
  <w:style w:type="paragraph" w:styleId="Revision">
    <w:name w:val="Revision"/>
    <w:hidden/>
    <w:uiPriority w:val="99"/>
    <w:semiHidden/>
    <w:rsid w:val="004C7CD1"/>
    <w:pPr>
      <w:spacing w:after="0" w:line="240" w:lineRule="auto"/>
    </w:pPr>
  </w:style>
  <w:style w:type="paragraph" w:styleId="ListParagraph">
    <w:name w:val="List Paragraph"/>
    <w:basedOn w:val="Normal"/>
    <w:uiPriority w:val="34"/>
    <w:qFormat/>
    <w:rsid w:val="006D7BE4"/>
    <w:pPr>
      <w:ind w:left="720"/>
      <w:contextualSpacing/>
    </w:pPr>
  </w:style>
  <w:style w:type="character" w:styleId="UnresolvedMention">
    <w:name w:val="Unresolved Mention"/>
    <w:basedOn w:val="DefaultParagraphFont"/>
    <w:uiPriority w:val="99"/>
    <w:semiHidden/>
    <w:unhideWhenUsed/>
    <w:rsid w:val="00DC5689"/>
    <w:rPr>
      <w:color w:val="605E5C"/>
      <w:shd w:val="clear" w:color="auto" w:fill="E1DFDD"/>
    </w:rPr>
  </w:style>
  <w:style w:type="character" w:styleId="FollowedHyperlink">
    <w:name w:val="FollowedHyperlink"/>
    <w:basedOn w:val="DefaultParagraphFont"/>
    <w:uiPriority w:val="99"/>
    <w:semiHidden/>
    <w:unhideWhenUsed/>
    <w:rsid w:val="00EE3A7C"/>
    <w:rPr>
      <w:color w:val="954F72" w:themeColor="followedHyperlink"/>
      <w:u w:val="single"/>
    </w:rPr>
  </w:style>
  <w:style w:type="paragraph" w:styleId="FootnoteText">
    <w:name w:val="footnote text"/>
    <w:basedOn w:val="Normal"/>
    <w:link w:val="FootnoteTextChar"/>
    <w:uiPriority w:val="99"/>
    <w:semiHidden/>
    <w:unhideWhenUsed/>
    <w:rsid w:val="008B0C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0C26"/>
    <w:rPr>
      <w:sz w:val="20"/>
      <w:szCs w:val="20"/>
    </w:rPr>
  </w:style>
  <w:style w:type="character" w:styleId="FootnoteReference">
    <w:name w:val="footnote reference"/>
    <w:basedOn w:val="DefaultParagraphFont"/>
    <w:uiPriority w:val="99"/>
    <w:semiHidden/>
    <w:unhideWhenUsed/>
    <w:rsid w:val="008B0C26"/>
    <w:rPr>
      <w:vertAlign w:val="superscript"/>
    </w:rPr>
  </w:style>
  <w:style w:type="character" w:customStyle="1" w:styleId="cf01">
    <w:name w:val="cf01"/>
    <w:basedOn w:val="DefaultParagraphFont"/>
    <w:rsid w:val="000A6B3E"/>
    <w:rPr>
      <w:rFonts w:ascii="Segoe UI" w:hAnsi="Segoe UI" w:cs="Segoe UI" w:hint="default"/>
      <w:sz w:val="18"/>
      <w:szCs w:val="18"/>
    </w:rPr>
  </w:style>
  <w:style w:type="paragraph" w:customStyle="1" w:styleId="pf0">
    <w:name w:val="pf0"/>
    <w:basedOn w:val="Normal"/>
    <w:rsid w:val="00D901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2416">
      <w:bodyDiv w:val="1"/>
      <w:marLeft w:val="0"/>
      <w:marRight w:val="0"/>
      <w:marTop w:val="0"/>
      <w:marBottom w:val="0"/>
      <w:divBdr>
        <w:top w:val="none" w:sz="0" w:space="0" w:color="auto"/>
        <w:left w:val="none" w:sz="0" w:space="0" w:color="auto"/>
        <w:bottom w:val="none" w:sz="0" w:space="0" w:color="auto"/>
        <w:right w:val="none" w:sz="0" w:space="0" w:color="auto"/>
      </w:divBdr>
    </w:div>
    <w:div w:id="408890738">
      <w:bodyDiv w:val="1"/>
      <w:marLeft w:val="0"/>
      <w:marRight w:val="0"/>
      <w:marTop w:val="0"/>
      <w:marBottom w:val="0"/>
      <w:divBdr>
        <w:top w:val="none" w:sz="0" w:space="0" w:color="auto"/>
        <w:left w:val="none" w:sz="0" w:space="0" w:color="auto"/>
        <w:bottom w:val="none" w:sz="0" w:space="0" w:color="auto"/>
        <w:right w:val="none" w:sz="0" w:space="0" w:color="auto"/>
      </w:divBdr>
      <w:divsChild>
        <w:div w:id="687103263">
          <w:marLeft w:val="0"/>
          <w:marRight w:val="0"/>
          <w:marTop w:val="0"/>
          <w:marBottom w:val="0"/>
          <w:divBdr>
            <w:top w:val="none" w:sz="0" w:space="0" w:color="auto"/>
            <w:left w:val="none" w:sz="0" w:space="0" w:color="auto"/>
            <w:bottom w:val="none" w:sz="0" w:space="0" w:color="auto"/>
            <w:right w:val="none" w:sz="0" w:space="0" w:color="auto"/>
          </w:divBdr>
        </w:div>
      </w:divsChild>
    </w:div>
    <w:div w:id="528613871">
      <w:bodyDiv w:val="1"/>
      <w:marLeft w:val="0"/>
      <w:marRight w:val="0"/>
      <w:marTop w:val="0"/>
      <w:marBottom w:val="0"/>
      <w:divBdr>
        <w:top w:val="none" w:sz="0" w:space="0" w:color="auto"/>
        <w:left w:val="none" w:sz="0" w:space="0" w:color="auto"/>
        <w:bottom w:val="none" w:sz="0" w:space="0" w:color="auto"/>
        <w:right w:val="none" w:sz="0" w:space="0" w:color="auto"/>
      </w:divBdr>
      <w:divsChild>
        <w:div w:id="1604798225">
          <w:marLeft w:val="0"/>
          <w:marRight w:val="0"/>
          <w:marTop w:val="0"/>
          <w:marBottom w:val="0"/>
          <w:divBdr>
            <w:top w:val="none" w:sz="0" w:space="0" w:color="auto"/>
            <w:left w:val="none" w:sz="0" w:space="0" w:color="auto"/>
            <w:bottom w:val="none" w:sz="0" w:space="0" w:color="auto"/>
            <w:right w:val="none" w:sz="0" w:space="0" w:color="auto"/>
          </w:divBdr>
          <w:divsChild>
            <w:div w:id="359089880">
              <w:marLeft w:val="0"/>
              <w:marRight w:val="0"/>
              <w:marTop w:val="0"/>
              <w:marBottom w:val="0"/>
              <w:divBdr>
                <w:top w:val="none" w:sz="0" w:space="0" w:color="auto"/>
                <w:left w:val="none" w:sz="0" w:space="0" w:color="auto"/>
                <w:bottom w:val="none" w:sz="0" w:space="0" w:color="auto"/>
                <w:right w:val="none" w:sz="0" w:space="0" w:color="auto"/>
              </w:divBdr>
            </w:div>
            <w:div w:id="112601761">
              <w:marLeft w:val="0"/>
              <w:marRight w:val="0"/>
              <w:marTop w:val="0"/>
              <w:marBottom w:val="0"/>
              <w:divBdr>
                <w:top w:val="none" w:sz="0" w:space="0" w:color="auto"/>
                <w:left w:val="none" w:sz="0" w:space="0" w:color="auto"/>
                <w:bottom w:val="none" w:sz="0" w:space="0" w:color="auto"/>
                <w:right w:val="none" w:sz="0" w:space="0" w:color="auto"/>
              </w:divBdr>
            </w:div>
            <w:div w:id="2031299659">
              <w:marLeft w:val="0"/>
              <w:marRight w:val="0"/>
              <w:marTop w:val="0"/>
              <w:marBottom w:val="0"/>
              <w:divBdr>
                <w:top w:val="none" w:sz="0" w:space="0" w:color="auto"/>
                <w:left w:val="none" w:sz="0" w:space="0" w:color="auto"/>
                <w:bottom w:val="none" w:sz="0" w:space="0" w:color="auto"/>
                <w:right w:val="none" w:sz="0" w:space="0" w:color="auto"/>
              </w:divBdr>
            </w:div>
            <w:div w:id="1379087267">
              <w:marLeft w:val="0"/>
              <w:marRight w:val="0"/>
              <w:marTop w:val="0"/>
              <w:marBottom w:val="0"/>
              <w:divBdr>
                <w:top w:val="none" w:sz="0" w:space="0" w:color="auto"/>
                <w:left w:val="none" w:sz="0" w:space="0" w:color="auto"/>
                <w:bottom w:val="none" w:sz="0" w:space="0" w:color="auto"/>
                <w:right w:val="none" w:sz="0" w:space="0" w:color="auto"/>
              </w:divBdr>
            </w:div>
            <w:div w:id="232858649">
              <w:marLeft w:val="0"/>
              <w:marRight w:val="0"/>
              <w:marTop w:val="0"/>
              <w:marBottom w:val="0"/>
              <w:divBdr>
                <w:top w:val="none" w:sz="0" w:space="0" w:color="auto"/>
                <w:left w:val="none" w:sz="0" w:space="0" w:color="auto"/>
                <w:bottom w:val="none" w:sz="0" w:space="0" w:color="auto"/>
                <w:right w:val="none" w:sz="0" w:space="0" w:color="auto"/>
              </w:divBdr>
            </w:div>
          </w:divsChild>
        </w:div>
        <w:div w:id="507066569">
          <w:marLeft w:val="0"/>
          <w:marRight w:val="0"/>
          <w:marTop w:val="0"/>
          <w:marBottom w:val="0"/>
          <w:divBdr>
            <w:top w:val="none" w:sz="0" w:space="0" w:color="auto"/>
            <w:left w:val="none" w:sz="0" w:space="0" w:color="auto"/>
            <w:bottom w:val="none" w:sz="0" w:space="0" w:color="auto"/>
            <w:right w:val="none" w:sz="0" w:space="0" w:color="auto"/>
          </w:divBdr>
          <w:divsChild>
            <w:div w:id="327952312">
              <w:marLeft w:val="0"/>
              <w:marRight w:val="0"/>
              <w:marTop w:val="0"/>
              <w:marBottom w:val="0"/>
              <w:divBdr>
                <w:top w:val="none" w:sz="0" w:space="0" w:color="auto"/>
                <w:left w:val="none" w:sz="0" w:space="0" w:color="auto"/>
                <w:bottom w:val="none" w:sz="0" w:space="0" w:color="auto"/>
                <w:right w:val="none" w:sz="0" w:space="0" w:color="auto"/>
              </w:divBdr>
            </w:div>
            <w:div w:id="1967810646">
              <w:marLeft w:val="0"/>
              <w:marRight w:val="0"/>
              <w:marTop w:val="0"/>
              <w:marBottom w:val="0"/>
              <w:divBdr>
                <w:top w:val="none" w:sz="0" w:space="0" w:color="auto"/>
                <w:left w:val="none" w:sz="0" w:space="0" w:color="auto"/>
                <w:bottom w:val="none" w:sz="0" w:space="0" w:color="auto"/>
                <w:right w:val="none" w:sz="0" w:space="0" w:color="auto"/>
              </w:divBdr>
            </w:div>
            <w:div w:id="1121144337">
              <w:marLeft w:val="0"/>
              <w:marRight w:val="0"/>
              <w:marTop w:val="0"/>
              <w:marBottom w:val="0"/>
              <w:divBdr>
                <w:top w:val="none" w:sz="0" w:space="0" w:color="auto"/>
                <w:left w:val="none" w:sz="0" w:space="0" w:color="auto"/>
                <w:bottom w:val="none" w:sz="0" w:space="0" w:color="auto"/>
                <w:right w:val="none" w:sz="0" w:space="0" w:color="auto"/>
              </w:divBdr>
            </w:div>
            <w:div w:id="1535849403">
              <w:marLeft w:val="0"/>
              <w:marRight w:val="0"/>
              <w:marTop w:val="0"/>
              <w:marBottom w:val="0"/>
              <w:divBdr>
                <w:top w:val="none" w:sz="0" w:space="0" w:color="auto"/>
                <w:left w:val="none" w:sz="0" w:space="0" w:color="auto"/>
                <w:bottom w:val="none" w:sz="0" w:space="0" w:color="auto"/>
                <w:right w:val="none" w:sz="0" w:space="0" w:color="auto"/>
              </w:divBdr>
            </w:div>
            <w:div w:id="1971010591">
              <w:marLeft w:val="0"/>
              <w:marRight w:val="0"/>
              <w:marTop w:val="0"/>
              <w:marBottom w:val="0"/>
              <w:divBdr>
                <w:top w:val="none" w:sz="0" w:space="0" w:color="auto"/>
                <w:left w:val="none" w:sz="0" w:space="0" w:color="auto"/>
                <w:bottom w:val="none" w:sz="0" w:space="0" w:color="auto"/>
                <w:right w:val="none" w:sz="0" w:space="0" w:color="auto"/>
              </w:divBdr>
            </w:div>
          </w:divsChild>
        </w:div>
        <w:div w:id="178473385">
          <w:marLeft w:val="0"/>
          <w:marRight w:val="0"/>
          <w:marTop w:val="0"/>
          <w:marBottom w:val="0"/>
          <w:divBdr>
            <w:top w:val="none" w:sz="0" w:space="0" w:color="auto"/>
            <w:left w:val="none" w:sz="0" w:space="0" w:color="auto"/>
            <w:bottom w:val="none" w:sz="0" w:space="0" w:color="auto"/>
            <w:right w:val="none" w:sz="0" w:space="0" w:color="auto"/>
          </w:divBdr>
          <w:divsChild>
            <w:div w:id="237834389">
              <w:marLeft w:val="0"/>
              <w:marRight w:val="0"/>
              <w:marTop w:val="0"/>
              <w:marBottom w:val="0"/>
              <w:divBdr>
                <w:top w:val="none" w:sz="0" w:space="0" w:color="auto"/>
                <w:left w:val="none" w:sz="0" w:space="0" w:color="auto"/>
                <w:bottom w:val="none" w:sz="0" w:space="0" w:color="auto"/>
                <w:right w:val="none" w:sz="0" w:space="0" w:color="auto"/>
              </w:divBdr>
            </w:div>
            <w:div w:id="858666162">
              <w:marLeft w:val="0"/>
              <w:marRight w:val="0"/>
              <w:marTop w:val="0"/>
              <w:marBottom w:val="0"/>
              <w:divBdr>
                <w:top w:val="none" w:sz="0" w:space="0" w:color="auto"/>
                <w:left w:val="none" w:sz="0" w:space="0" w:color="auto"/>
                <w:bottom w:val="none" w:sz="0" w:space="0" w:color="auto"/>
                <w:right w:val="none" w:sz="0" w:space="0" w:color="auto"/>
              </w:divBdr>
            </w:div>
            <w:div w:id="707142583">
              <w:marLeft w:val="0"/>
              <w:marRight w:val="0"/>
              <w:marTop w:val="0"/>
              <w:marBottom w:val="0"/>
              <w:divBdr>
                <w:top w:val="none" w:sz="0" w:space="0" w:color="auto"/>
                <w:left w:val="none" w:sz="0" w:space="0" w:color="auto"/>
                <w:bottom w:val="none" w:sz="0" w:space="0" w:color="auto"/>
                <w:right w:val="none" w:sz="0" w:space="0" w:color="auto"/>
              </w:divBdr>
            </w:div>
            <w:div w:id="1495796290">
              <w:marLeft w:val="0"/>
              <w:marRight w:val="0"/>
              <w:marTop w:val="0"/>
              <w:marBottom w:val="0"/>
              <w:divBdr>
                <w:top w:val="none" w:sz="0" w:space="0" w:color="auto"/>
                <w:left w:val="none" w:sz="0" w:space="0" w:color="auto"/>
                <w:bottom w:val="none" w:sz="0" w:space="0" w:color="auto"/>
                <w:right w:val="none" w:sz="0" w:space="0" w:color="auto"/>
              </w:divBdr>
            </w:div>
          </w:divsChild>
        </w:div>
        <w:div w:id="43868279">
          <w:marLeft w:val="0"/>
          <w:marRight w:val="0"/>
          <w:marTop w:val="0"/>
          <w:marBottom w:val="0"/>
          <w:divBdr>
            <w:top w:val="none" w:sz="0" w:space="0" w:color="auto"/>
            <w:left w:val="none" w:sz="0" w:space="0" w:color="auto"/>
            <w:bottom w:val="none" w:sz="0" w:space="0" w:color="auto"/>
            <w:right w:val="none" w:sz="0" w:space="0" w:color="auto"/>
          </w:divBdr>
          <w:divsChild>
            <w:div w:id="1379432263">
              <w:marLeft w:val="0"/>
              <w:marRight w:val="0"/>
              <w:marTop w:val="0"/>
              <w:marBottom w:val="0"/>
              <w:divBdr>
                <w:top w:val="none" w:sz="0" w:space="0" w:color="auto"/>
                <w:left w:val="none" w:sz="0" w:space="0" w:color="auto"/>
                <w:bottom w:val="none" w:sz="0" w:space="0" w:color="auto"/>
                <w:right w:val="none" w:sz="0" w:space="0" w:color="auto"/>
              </w:divBdr>
            </w:div>
            <w:div w:id="347753218">
              <w:marLeft w:val="0"/>
              <w:marRight w:val="0"/>
              <w:marTop w:val="0"/>
              <w:marBottom w:val="0"/>
              <w:divBdr>
                <w:top w:val="none" w:sz="0" w:space="0" w:color="auto"/>
                <w:left w:val="none" w:sz="0" w:space="0" w:color="auto"/>
                <w:bottom w:val="none" w:sz="0" w:space="0" w:color="auto"/>
                <w:right w:val="none" w:sz="0" w:space="0" w:color="auto"/>
              </w:divBdr>
            </w:div>
            <w:div w:id="1326009237">
              <w:marLeft w:val="0"/>
              <w:marRight w:val="0"/>
              <w:marTop w:val="0"/>
              <w:marBottom w:val="0"/>
              <w:divBdr>
                <w:top w:val="none" w:sz="0" w:space="0" w:color="auto"/>
                <w:left w:val="none" w:sz="0" w:space="0" w:color="auto"/>
                <w:bottom w:val="none" w:sz="0" w:space="0" w:color="auto"/>
                <w:right w:val="none" w:sz="0" w:space="0" w:color="auto"/>
              </w:divBdr>
            </w:div>
            <w:div w:id="614291069">
              <w:marLeft w:val="0"/>
              <w:marRight w:val="0"/>
              <w:marTop w:val="0"/>
              <w:marBottom w:val="0"/>
              <w:divBdr>
                <w:top w:val="none" w:sz="0" w:space="0" w:color="auto"/>
                <w:left w:val="none" w:sz="0" w:space="0" w:color="auto"/>
                <w:bottom w:val="none" w:sz="0" w:space="0" w:color="auto"/>
                <w:right w:val="none" w:sz="0" w:space="0" w:color="auto"/>
              </w:divBdr>
            </w:div>
            <w:div w:id="881938835">
              <w:marLeft w:val="0"/>
              <w:marRight w:val="0"/>
              <w:marTop w:val="0"/>
              <w:marBottom w:val="0"/>
              <w:divBdr>
                <w:top w:val="none" w:sz="0" w:space="0" w:color="auto"/>
                <w:left w:val="none" w:sz="0" w:space="0" w:color="auto"/>
                <w:bottom w:val="none" w:sz="0" w:space="0" w:color="auto"/>
                <w:right w:val="none" w:sz="0" w:space="0" w:color="auto"/>
              </w:divBdr>
            </w:div>
          </w:divsChild>
        </w:div>
        <w:div w:id="1354847623">
          <w:marLeft w:val="0"/>
          <w:marRight w:val="0"/>
          <w:marTop w:val="0"/>
          <w:marBottom w:val="0"/>
          <w:divBdr>
            <w:top w:val="none" w:sz="0" w:space="0" w:color="auto"/>
            <w:left w:val="none" w:sz="0" w:space="0" w:color="auto"/>
            <w:bottom w:val="none" w:sz="0" w:space="0" w:color="auto"/>
            <w:right w:val="none" w:sz="0" w:space="0" w:color="auto"/>
          </w:divBdr>
        </w:div>
        <w:div w:id="957418628">
          <w:marLeft w:val="0"/>
          <w:marRight w:val="0"/>
          <w:marTop w:val="0"/>
          <w:marBottom w:val="0"/>
          <w:divBdr>
            <w:top w:val="none" w:sz="0" w:space="0" w:color="auto"/>
            <w:left w:val="none" w:sz="0" w:space="0" w:color="auto"/>
            <w:bottom w:val="none" w:sz="0" w:space="0" w:color="auto"/>
            <w:right w:val="none" w:sz="0" w:space="0" w:color="auto"/>
          </w:divBdr>
        </w:div>
        <w:div w:id="855971709">
          <w:marLeft w:val="0"/>
          <w:marRight w:val="0"/>
          <w:marTop w:val="0"/>
          <w:marBottom w:val="0"/>
          <w:divBdr>
            <w:top w:val="none" w:sz="0" w:space="0" w:color="auto"/>
            <w:left w:val="none" w:sz="0" w:space="0" w:color="auto"/>
            <w:bottom w:val="none" w:sz="0" w:space="0" w:color="auto"/>
            <w:right w:val="none" w:sz="0" w:space="0" w:color="auto"/>
          </w:divBdr>
        </w:div>
        <w:div w:id="944969138">
          <w:marLeft w:val="0"/>
          <w:marRight w:val="0"/>
          <w:marTop w:val="0"/>
          <w:marBottom w:val="0"/>
          <w:divBdr>
            <w:top w:val="none" w:sz="0" w:space="0" w:color="auto"/>
            <w:left w:val="none" w:sz="0" w:space="0" w:color="auto"/>
            <w:bottom w:val="none" w:sz="0" w:space="0" w:color="auto"/>
            <w:right w:val="none" w:sz="0" w:space="0" w:color="auto"/>
          </w:divBdr>
        </w:div>
        <w:div w:id="1848404069">
          <w:marLeft w:val="0"/>
          <w:marRight w:val="0"/>
          <w:marTop w:val="0"/>
          <w:marBottom w:val="0"/>
          <w:divBdr>
            <w:top w:val="none" w:sz="0" w:space="0" w:color="auto"/>
            <w:left w:val="none" w:sz="0" w:space="0" w:color="auto"/>
            <w:bottom w:val="none" w:sz="0" w:space="0" w:color="auto"/>
            <w:right w:val="none" w:sz="0" w:space="0" w:color="auto"/>
          </w:divBdr>
        </w:div>
      </w:divsChild>
    </w:div>
    <w:div w:id="771559627">
      <w:bodyDiv w:val="1"/>
      <w:marLeft w:val="0"/>
      <w:marRight w:val="0"/>
      <w:marTop w:val="0"/>
      <w:marBottom w:val="0"/>
      <w:divBdr>
        <w:top w:val="none" w:sz="0" w:space="0" w:color="auto"/>
        <w:left w:val="none" w:sz="0" w:space="0" w:color="auto"/>
        <w:bottom w:val="none" w:sz="0" w:space="0" w:color="auto"/>
        <w:right w:val="none" w:sz="0" w:space="0" w:color="auto"/>
      </w:divBdr>
      <w:divsChild>
        <w:div w:id="1771465516">
          <w:marLeft w:val="0"/>
          <w:marRight w:val="0"/>
          <w:marTop w:val="0"/>
          <w:marBottom w:val="0"/>
          <w:divBdr>
            <w:top w:val="none" w:sz="0" w:space="0" w:color="auto"/>
            <w:left w:val="none" w:sz="0" w:space="0" w:color="auto"/>
            <w:bottom w:val="none" w:sz="0" w:space="0" w:color="auto"/>
            <w:right w:val="none" w:sz="0" w:space="0" w:color="auto"/>
          </w:divBdr>
        </w:div>
        <w:div w:id="331566556">
          <w:marLeft w:val="0"/>
          <w:marRight w:val="0"/>
          <w:marTop w:val="0"/>
          <w:marBottom w:val="0"/>
          <w:divBdr>
            <w:top w:val="none" w:sz="0" w:space="0" w:color="auto"/>
            <w:left w:val="none" w:sz="0" w:space="0" w:color="auto"/>
            <w:bottom w:val="none" w:sz="0" w:space="0" w:color="auto"/>
            <w:right w:val="none" w:sz="0" w:space="0" w:color="auto"/>
          </w:divBdr>
        </w:div>
        <w:div w:id="117072527">
          <w:marLeft w:val="0"/>
          <w:marRight w:val="0"/>
          <w:marTop w:val="0"/>
          <w:marBottom w:val="0"/>
          <w:divBdr>
            <w:top w:val="none" w:sz="0" w:space="0" w:color="auto"/>
            <w:left w:val="none" w:sz="0" w:space="0" w:color="auto"/>
            <w:bottom w:val="none" w:sz="0" w:space="0" w:color="auto"/>
            <w:right w:val="none" w:sz="0" w:space="0" w:color="auto"/>
          </w:divBdr>
        </w:div>
        <w:div w:id="527908356">
          <w:marLeft w:val="0"/>
          <w:marRight w:val="0"/>
          <w:marTop w:val="0"/>
          <w:marBottom w:val="0"/>
          <w:divBdr>
            <w:top w:val="none" w:sz="0" w:space="0" w:color="auto"/>
            <w:left w:val="none" w:sz="0" w:space="0" w:color="auto"/>
            <w:bottom w:val="none" w:sz="0" w:space="0" w:color="auto"/>
            <w:right w:val="none" w:sz="0" w:space="0" w:color="auto"/>
          </w:divBdr>
        </w:div>
        <w:div w:id="1492525066">
          <w:marLeft w:val="0"/>
          <w:marRight w:val="0"/>
          <w:marTop w:val="0"/>
          <w:marBottom w:val="0"/>
          <w:divBdr>
            <w:top w:val="none" w:sz="0" w:space="0" w:color="auto"/>
            <w:left w:val="none" w:sz="0" w:space="0" w:color="auto"/>
            <w:bottom w:val="none" w:sz="0" w:space="0" w:color="auto"/>
            <w:right w:val="none" w:sz="0" w:space="0" w:color="auto"/>
          </w:divBdr>
        </w:div>
      </w:divsChild>
    </w:div>
    <w:div w:id="1186209394">
      <w:bodyDiv w:val="1"/>
      <w:marLeft w:val="0"/>
      <w:marRight w:val="0"/>
      <w:marTop w:val="0"/>
      <w:marBottom w:val="0"/>
      <w:divBdr>
        <w:top w:val="none" w:sz="0" w:space="0" w:color="auto"/>
        <w:left w:val="none" w:sz="0" w:space="0" w:color="auto"/>
        <w:bottom w:val="none" w:sz="0" w:space="0" w:color="auto"/>
        <w:right w:val="none" w:sz="0" w:space="0" w:color="auto"/>
      </w:divBdr>
    </w:div>
    <w:div w:id="13974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thechain.org/wp-content/uploads/KTC-methodology-2022-23.pdf" TargetMode="External"/><Relationship Id="rId13" Type="http://schemas.openxmlformats.org/officeDocument/2006/relationships/hyperlink" Target="https://www.americanbar.org/groups/human_rights/business-human-rights-initiative/contractual-clauses-proje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nowthechain.org/wp-content/uploads/2022-KTC-mHREDD-brief.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orkersrights.org/commentary/landmark-agreements-to-combat-gender-based-violence-and-harassment-in-lesothos-garment-indust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owthechain.org/wp-content/uploads/2021-KTC-AF-Investor-Brief.pdf" TargetMode="External"/><Relationship Id="rId5" Type="http://schemas.openxmlformats.org/officeDocument/2006/relationships/webSettings" Target="webSettings.xml"/><Relationship Id="rId15" Type="http://schemas.openxmlformats.org/officeDocument/2006/relationships/hyperlink" Target="https://www.industriall-union.org/industriall-and-inditex-create-a-global-union-committee" TargetMode="External"/><Relationship Id="rId10" Type="http://schemas.openxmlformats.org/officeDocument/2006/relationships/hyperlink" Target="https://knowthechain.org/investor-ac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nowthechain.org/company%20list/" TargetMode="External"/><Relationship Id="rId14" Type="http://schemas.openxmlformats.org/officeDocument/2006/relationships/hyperlink" Target="https://www.industriall-union.org/sites/default/files/uploads/documents/GFAs/HM/hm_gfa2016_eng.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knowthechain.org/wp-content/uploads/2021-KTC-AF-Benchmark-Report.pdf" TargetMode="External"/><Relationship Id="rId2" Type="http://schemas.openxmlformats.org/officeDocument/2006/relationships/hyperlink" Target="https://knowthechain.org/wp-content/uploads/2021-KTC-AF-Benchmark-Report.pdf" TargetMode="External"/><Relationship Id="rId1" Type="http://schemas.openxmlformats.org/officeDocument/2006/relationships/hyperlink" Target="https://actonlivingwages.com/app/uploads/2021/04/ACT-Labour-Costing-Protocol.pdf" TargetMode="External"/><Relationship Id="rId4" Type="http://schemas.openxmlformats.org/officeDocument/2006/relationships/hyperlink" Target="https://www.ilo.org/wcmsp5/groups/public/---ed_protect/---protrav/---travail/documents/publication/wcms_65554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5BE5F-F3CE-48A1-8479-BEB49D95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Clarke</dc:creator>
  <cp:keywords/>
  <dc:description/>
  <cp:lastModifiedBy>Áine Clarke</cp:lastModifiedBy>
  <cp:revision>5</cp:revision>
  <dcterms:created xsi:type="dcterms:W3CDTF">2022-09-08T14:42:00Z</dcterms:created>
  <dcterms:modified xsi:type="dcterms:W3CDTF">2023-05-11T16:16:00Z</dcterms:modified>
</cp:coreProperties>
</file>