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8B05" w14:textId="77777777" w:rsidR="001806A7" w:rsidRPr="001806A7" w:rsidRDefault="001806A7" w:rsidP="001806A7">
      <w:pPr>
        <w:shd w:val="clear" w:color="auto" w:fill="FFFFFF"/>
        <w:jc w:val="both"/>
        <w:rPr>
          <w:rFonts w:eastAsia="Times New Roman" w:cs="Times New Roman"/>
          <w:color w:val="000000"/>
        </w:rPr>
      </w:pPr>
      <w:bookmarkStart w:id="0" w:name="_GoBack"/>
      <w:bookmarkEnd w:id="0"/>
      <w:r w:rsidRPr="001806A7">
        <w:rPr>
          <w:rFonts w:eastAsia="Times New Roman" w:cs="Times New Roman"/>
          <w:color w:val="000000"/>
        </w:rPr>
        <w:t>Dear Fatih,</w:t>
      </w:r>
    </w:p>
    <w:p w14:paraId="61AF0699" w14:textId="77777777" w:rsidR="001806A7" w:rsidRPr="001806A7" w:rsidRDefault="001806A7" w:rsidP="001806A7">
      <w:pPr>
        <w:shd w:val="clear" w:color="auto" w:fill="FFFFFF"/>
        <w:jc w:val="both"/>
        <w:rPr>
          <w:rFonts w:eastAsia="Times New Roman" w:cs="Times New Roman"/>
          <w:color w:val="000000"/>
        </w:rPr>
      </w:pPr>
    </w:p>
    <w:p w14:paraId="129CF5E0"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So much has happened since we wrote to you earlier this year, asking the IEA to prioritize a 1.5ºC pathway in this year’s World Energy Outlook (WEO).  We have just witnessed 11,000 scientists declare that we are now in an emergency state with climate change. The unprecedented public protests we see on our streets has made clear that people will no longer tolerate inaction or delay from businesses and governments when it comes to the climate crisis.  </w:t>
      </w:r>
    </w:p>
    <w:p w14:paraId="2A914122" w14:textId="77777777" w:rsidR="001806A7" w:rsidRPr="001806A7" w:rsidRDefault="001806A7" w:rsidP="001806A7">
      <w:pPr>
        <w:shd w:val="clear" w:color="auto" w:fill="FFFFFF"/>
        <w:jc w:val="both"/>
        <w:rPr>
          <w:rFonts w:eastAsia="Times New Roman" w:cs="Times New Roman"/>
          <w:color w:val="000000"/>
        </w:rPr>
      </w:pPr>
    </w:p>
    <w:p w14:paraId="217C7604"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We welcome the improvements the IEA has made to the latest WEO, including renaming the New Policies Scenario to the more accurately entitled ‘Stated Policies Scenario’, and extending the Sustainable Development Scenario to 2050. Such minor improvements are very welcome, but should not be mistaken for delivering upon urgently needed substantial changes.</w:t>
      </w:r>
    </w:p>
    <w:p w14:paraId="3EC847ED"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 </w:t>
      </w:r>
    </w:p>
    <w:p w14:paraId="247C2C16"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We urge you to do better. We fully understand that IEA does not intend to define policy or investment decisions, but the fact is that the WEO is the globally authoritative publication on energy and energy infrastructure and it is used to inform significant investment and political decisions worldwide.  As the WEO can become a self fulfilling prophecy, it carries a major responsibility that goes way beyond that of other publications that are merely descriptive. IEA cannot be derelict of this responsibility. </w:t>
      </w:r>
    </w:p>
    <w:p w14:paraId="4AB40B6D" w14:textId="77777777" w:rsidR="001806A7" w:rsidRPr="001806A7" w:rsidRDefault="001806A7" w:rsidP="001806A7">
      <w:pPr>
        <w:shd w:val="clear" w:color="auto" w:fill="FFFFFF"/>
        <w:jc w:val="both"/>
        <w:rPr>
          <w:rFonts w:eastAsia="Times New Roman" w:cs="Times New Roman"/>
          <w:color w:val="000000"/>
        </w:rPr>
      </w:pPr>
    </w:p>
    <w:p w14:paraId="782740B7"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The mainstream scenario in this year’s WEO leads to at least 2.7ºC of warming. The Sustainable Development Scenario gives only a 50 percent chance of warming somewhere between 1.5ºC and 2ºC and leads to net-zero emissions by 2070. That’s two decades too late. </w:t>
      </w:r>
    </w:p>
    <w:p w14:paraId="14EAB0CF" w14:textId="77777777" w:rsidR="001806A7" w:rsidRPr="001806A7" w:rsidRDefault="001806A7" w:rsidP="001806A7">
      <w:pPr>
        <w:shd w:val="clear" w:color="auto" w:fill="FFFFFF"/>
        <w:jc w:val="both"/>
        <w:rPr>
          <w:rFonts w:eastAsia="Times New Roman" w:cs="Times New Roman"/>
          <w:color w:val="000000"/>
        </w:rPr>
      </w:pPr>
    </w:p>
    <w:p w14:paraId="0A8DA049"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The science tells us that our best chance of avoiding unprecedented human catastrophes is to limit warming to 1.5ºC by halving global emissions between 2020 and 2030, and again by 2040, so we can safely reach net-zero emissions by 2050. Any temperature rise beyond 1.5ºC will exacerbate the devastation and injustice that is already too much to bear. </w:t>
      </w:r>
    </w:p>
    <w:p w14:paraId="764AD500" w14:textId="77777777" w:rsidR="001806A7" w:rsidRPr="001806A7" w:rsidRDefault="001806A7" w:rsidP="001806A7">
      <w:pPr>
        <w:shd w:val="clear" w:color="auto" w:fill="FFFFFF"/>
        <w:jc w:val="both"/>
        <w:rPr>
          <w:rFonts w:eastAsia="Times New Roman" w:cs="Times New Roman"/>
          <w:color w:val="000000"/>
        </w:rPr>
      </w:pPr>
    </w:p>
    <w:p w14:paraId="2FDA61F4"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The WEO must provide governments, investors and companies with a scenario that describes what they would need to do to align their policies, investments and business strategies with the Paris Agreement’s long-term goal of limiting global temperature rise to 1.5ºC.  Measures would include exponential broad-spectrum renewable energy deployment, improved energy efficiency, electrification of cars, heating and heavy industry, an end to polluting combustion engines, and an end to the expansion of oil, gas and coal production, accompanied by a just transition and radical regeneration of nature. </w:t>
      </w:r>
    </w:p>
    <w:p w14:paraId="67EC9858" w14:textId="77777777" w:rsidR="001806A7" w:rsidRPr="001806A7" w:rsidRDefault="001806A7" w:rsidP="001806A7">
      <w:pPr>
        <w:shd w:val="clear" w:color="auto" w:fill="FFFFFF"/>
        <w:jc w:val="both"/>
        <w:rPr>
          <w:rFonts w:eastAsia="Times New Roman" w:cs="Times New Roman"/>
          <w:color w:val="000000"/>
        </w:rPr>
      </w:pPr>
    </w:p>
    <w:p w14:paraId="7A9D457A"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We have seen how the IEA can shine attention on transformational solutions. Its recent outlook report on offshore wind rightly acknowledged the game-changing power of this technology, and charted a course for other industries, including oil and gas, to seize the business opportunities it presents.  </w:t>
      </w:r>
    </w:p>
    <w:p w14:paraId="7E7F4D88" w14:textId="77777777" w:rsidR="001806A7" w:rsidRPr="001806A7" w:rsidRDefault="001806A7" w:rsidP="001806A7">
      <w:pPr>
        <w:shd w:val="clear" w:color="auto" w:fill="FFFFFF"/>
        <w:jc w:val="both"/>
        <w:rPr>
          <w:rFonts w:eastAsia="Times New Roman" w:cs="Times New Roman"/>
          <w:color w:val="000000"/>
        </w:rPr>
      </w:pPr>
    </w:p>
    <w:p w14:paraId="74CE501E"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We therefore renew our call on the IEA to make the Sustainable Development Scenario a central reference in the 2020 WEO. This should present a reasonable probability of reaching net-zero emissions by 2050 (not 2070) and limiting warming to 1.5ºC, a precautionary approach to negative emissions technologies, and the steps needed to follow that pathway.</w:t>
      </w:r>
    </w:p>
    <w:p w14:paraId="29E47687" w14:textId="77777777" w:rsidR="001806A7" w:rsidRPr="001806A7" w:rsidRDefault="001806A7" w:rsidP="001806A7">
      <w:pPr>
        <w:shd w:val="clear" w:color="auto" w:fill="FFFFFF"/>
        <w:jc w:val="both"/>
        <w:rPr>
          <w:rFonts w:eastAsia="Times New Roman" w:cs="Times New Roman"/>
          <w:color w:val="000000"/>
        </w:rPr>
      </w:pPr>
    </w:p>
    <w:p w14:paraId="3CA3D49D"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The year 2020 marks a turning point for the world — the year when we either grasp the challenges and opportunities before us, or continue delaying and obstructing the low-carbon transformation. This is an opportunity for the IEA to step out in front and show the world what is necessary for us to deliver a 1.5ºC future.</w:t>
      </w:r>
    </w:p>
    <w:p w14:paraId="74204E05" w14:textId="77777777" w:rsidR="001806A7" w:rsidRPr="001806A7" w:rsidRDefault="001806A7" w:rsidP="001806A7">
      <w:pPr>
        <w:shd w:val="clear" w:color="auto" w:fill="FFFFFF"/>
        <w:jc w:val="both"/>
        <w:rPr>
          <w:rFonts w:eastAsia="Times New Roman" w:cs="Times New Roman"/>
          <w:color w:val="000000"/>
        </w:rPr>
      </w:pPr>
    </w:p>
    <w:p w14:paraId="165DFE7E"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Yours sincerely,</w:t>
      </w:r>
    </w:p>
    <w:p w14:paraId="2EF8F82C" w14:textId="77777777" w:rsidR="001806A7" w:rsidRPr="001806A7" w:rsidRDefault="001806A7" w:rsidP="001806A7">
      <w:pPr>
        <w:shd w:val="clear" w:color="auto" w:fill="FFFFFF"/>
        <w:jc w:val="both"/>
        <w:rPr>
          <w:rFonts w:eastAsia="Times New Roman" w:cs="Times New Roman"/>
          <w:color w:val="000000"/>
        </w:rPr>
      </w:pPr>
    </w:p>
    <w:p w14:paraId="20558601" w14:textId="77777777" w:rsidR="001806A7" w:rsidRPr="001806A7" w:rsidRDefault="001806A7" w:rsidP="001806A7">
      <w:pPr>
        <w:shd w:val="clear" w:color="auto" w:fill="FFFFFF"/>
        <w:jc w:val="both"/>
        <w:rPr>
          <w:rFonts w:eastAsia="Times New Roman" w:cs="Times New Roman"/>
          <w:color w:val="000000"/>
        </w:rPr>
      </w:pPr>
      <w:r w:rsidRPr="001806A7">
        <w:rPr>
          <w:rFonts w:eastAsia="Times New Roman" w:cs="Times New Roman"/>
          <w:color w:val="000000"/>
        </w:rPr>
        <w:t>[list of co-signatories will go here]</w:t>
      </w:r>
    </w:p>
    <w:p w14:paraId="617C657A" w14:textId="77777777" w:rsidR="002B2F2F" w:rsidRPr="001806A7" w:rsidRDefault="002B2F2F" w:rsidP="001806A7">
      <w:pPr>
        <w:jc w:val="both"/>
        <w:rPr>
          <w:rFonts w:cs="Times New Roman"/>
        </w:rPr>
      </w:pPr>
    </w:p>
    <w:sectPr w:rsidR="002B2F2F" w:rsidRPr="001806A7" w:rsidSect="0078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A7"/>
    <w:rsid w:val="001806A7"/>
    <w:rsid w:val="002B2F2F"/>
    <w:rsid w:val="00785E59"/>
    <w:rsid w:val="00F6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F18A"/>
  <w15:chartTrackingRefBased/>
  <w15:docId w15:val="{E795991B-572D-BF41-A59D-D891FA4B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6A7"/>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9025">
      <w:bodyDiv w:val="1"/>
      <w:marLeft w:val="0"/>
      <w:marRight w:val="0"/>
      <w:marTop w:val="0"/>
      <w:marBottom w:val="0"/>
      <w:divBdr>
        <w:top w:val="none" w:sz="0" w:space="0" w:color="auto"/>
        <w:left w:val="none" w:sz="0" w:space="0" w:color="auto"/>
        <w:bottom w:val="none" w:sz="0" w:space="0" w:color="auto"/>
        <w:right w:val="none" w:sz="0" w:space="0" w:color="auto"/>
      </w:divBdr>
      <w:divsChild>
        <w:div w:id="338122699">
          <w:marLeft w:val="0"/>
          <w:marRight w:val="0"/>
          <w:marTop w:val="0"/>
          <w:marBottom w:val="0"/>
          <w:divBdr>
            <w:top w:val="none" w:sz="0" w:space="0" w:color="auto"/>
            <w:left w:val="none" w:sz="0" w:space="0" w:color="auto"/>
            <w:bottom w:val="none" w:sz="0" w:space="0" w:color="auto"/>
            <w:right w:val="none" w:sz="0" w:space="0" w:color="auto"/>
          </w:divBdr>
        </w:div>
        <w:div w:id="678773524">
          <w:marLeft w:val="0"/>
          <w:marRight w:val="0"/>
          <w:marTop w:val="0"/>
          <w:marBottom w:val="0"/>
          <w:divBdr>
            <w:top w:val="none" w:sz="0" w:space="0" w:color="auto"/>
            <w:left w:val="none" w:sz="0" w:space="0" w:color="auto"/>
            <w:bottom w:val="none" w:sz="0" w:space="0" w:color="auto"/>
            <w:right w:val="none" w:sz="0" w:space="0" w:color="auto"/>
          </w:divBdr>
        </w:div>
        <w:div w:id="2050718186">
          <w:marLeft w:val="0"/>
          <w:marRight w:val="0"/>
          <w:marTop w:val="0"/>
          <w:marBottom w:val="0"/>
          <w:divBdr>
            <w:top w:val="none" w:sz="0" w:space="0" w:color="auto"/>
            <w:left w:val="none" w:sz="0" w:space="0" w:color="auto"/>
            <w:bottom w:val="none" w:sz="0" w:space="0" w:color="auto"/>
            <w:right w:val="none" w:sz="0" w:space="0" w:color="auto"/>
          </w:divBdr>
        </w:div>
        <w:div w:id="1029335311">
          <w:marLeft w:val="0"/>
          <w:marRight w:val="0"/>
          <w:marTop w:val="0"/>
          <w:marBottom w:val="0"/>
          <w:divBdr>
            <w:top w:val="none" w:sz="0" w:space="0" w:color="auto"/>
            <w:left w:val="none" w:sz="0" w:space="0" w:color="auto"/>
            <w:bottom w:val="none" w:sz="0" w:space="0" w:color="auto"/>
            <w:right w:val="none" w:sz="0" w:space="0" w:color="auto"/>
          </w:divBdr>
        </w:div>
        <w:div w:id="258946341">
          <w:marLeft w:val="0"/>
          <w:marRight w:val="0"/>
          <w:marTop w:val="0"/>
          <w:marBottom w:val="0"/>
          <w:divBdr>
            <w:top w:val="none" w:sz="0" w:space="0" w:color="auto"/>
            <w:left w:val="none" w:sz="0" w:space="0" w:color="auto"/>
            <w:bottom w:val="none" w:sz="0" w:space="0" w:color="auto"/>
            <w:right w:val="none" w:sz="0" w:space="0" w:color="auto"/>
          </w:divBdr>
        </w:div>
        <w:div w:id="1857496994">
          <w:marLeft w:val="0"/>
          <w:marRight w:val="0"/>
          <w:marTop w:val="0"/>
          <w:marBottom w:val="0"/>
          <w:divBdr>
            <w:top w:val="none" w:sz="0" w:space="0" w:color="auto"/>
            <w:left w:val="none" w:sz="0" w:space="0" w:color="auto"/>
            <w:bottom w:val="none" w:sz="0" w:space="0" w:color="auto"/>
            <w:right w:val="none" w:sz="0" w:space="0" w:color="auto"/>
          </w:divBdr>
        </w:div>
        <w:div w:id="363405411">
          <w:marLeft w:val="0"/>
          <w:marRight w:val="0"/>
          <w:marTop w:val="0"/>
          <w:marBottom w:val="0"/>
          <w:divBdr>
            <w:top w:val="none" w:sz="0" w:space="0" w:color="auto"/>
            <w:left w:val="none" w:sz="0" w:space="0" w:color="auto"/>
            <w:bottom w:val="none" w:sz="0" w:space="0" w:color="auto"/>
            <w:right w:val="none" w:sz="0" w:space="0" w:color="auto"/>
          </w:divBdr>
        </w:div>
        <w:div w:id="72554700">
          <w:marLeft w:val="0"/>
          <w:marRight w:val="0"/>
          <w:marTop w:val="0"/>
          <w:marBottom w:val="0"/>
          <w:divBdr>
            <w:top w:val="none" w:sz="0" w:space="0" w:color="auto"/>
            <w:left w:val="none" w:sz="0" w:space="0" w:color="auto"/>
            <w:bottom w:val="none" w:sz="0" w:space="0" w:color="auto"/>
            <w:right w:val="none" w:sz="0" w:space="0" w:color="auto"/>
          </w:divBdr>
        </w:div>
        <w:div w:id="1356224234">
          <w:marLeft w:val="0"/>
          <w:marRight w:val="0"/>
          <w:marTop w:val="0"/>
          <w:marBottom w:val="0"/>
          <w:divBdr>
            <w:top w:val="none" w:sz="0" w:space="0" w:color="auto"/>
            <w:left w:val="none" w:sz="0" w:space="0" w:color="auto"/>
            <w:bottom w:val="none" w:sz="0" w:space="0" w:color="auto"/>
            <w:right w:val="none" w:sz="0" w:space="0" w:color="auto"/>
          </w:divBdr>
        </w:div>
        <w:div w:id="1645037836">
          <w:marLeft w:val="0"/>
          <w:marRight w:val="0"/>
          <w:marTop w:val="0"/>
          <w:marBottom w:val="0"/>
          <w:divBdr>
            <w:top w:val="none" w:sz="0" w:space="0" w:color="auto"/>
            <w:left w:val="none" w:sz="0" w:space="0" w:color="auto"/>
            <w:bottom w:val="none" w:sz="0" w:space="0" w:color="auto"/>
            <w:right w:val="none" w:sz="0" w:space="0" w:color="auto"/>
          </w:divBdr>
        </w:div>
        <w:div w:id="1919291122">
          <w:marLeft w:val="0"/>
          <w:marRight w:val="0"/>
          <w:marTop w:val="0"/>
          <w:marBottom w:val="0"/>
          <w:divBdr>
            <w:top w:val="none" w:sz="0" w:space="0" w:color="auto"/>
            <w:left w:val="none" w:sz="0" w:space="0" w:color="auto"/>
            <w:bottom w:val="none" w:sz="0" w:space="0" w:color="auto"/>
            <w:right w:val="none" w:sz="0" w:space="0" w:color="auto"/>
          </w:divBdr>
        </w:div>
        <w:div w:id="147633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B717A4E6C844D92E43CAAAE830F99" ma:contentTypeVersion="11" ma:contentTypeDescription="Create a new document." ma:contentTypeScope="" ma:versionID="7162326f9cdd0684b0804b0fc9a2aea1">
  <xsd:schema xmlns:xsd="http://www.w3.org/2001/XMLSchema" xmlns:xs="http://www.w3.org/2001/XMLSchema" xmlns:p="http://schemas.microsoft.com/office/2006/metadata/properties" xmlns:ns3="f97cb966-9582-43fb-b827-21ed5482e9c5" xmlns:ns4="a682f413-ee99-4aaf-b45e-98226925b729" targetNamespace="http://schemas.microsoft.com/office/2006/metadata/properties" ma:root="true" ma:fieldsID="faa02f63e4e5ddd235765d16384f2dde" ns3:_="" ns4:_="">
    <xsd:import namespace="f97cb966-9582-43fb-b827-21ed5482e9c5"/>
    <xsd:import namespace="a682f413-ee99-4aaf-b45e-98226925b7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b966-9582-43fb-b827-21ed5482e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2f413-ee99-4aaf-b45e-98226925b7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4745C-6B39-4282-A73C-B0EA89A04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cb966-9582-43fb-b827-21ed5482e9c5"/>
    <ds:schemaRef ds:uri="a682f413-ee99-4aaf-b45e-98226925b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4980B-3B47-4D37-82BC-09AE3C5BED0A}">
  <ds:schemaRefs>
    <ds:schemaRef ds:uri="http://schemas.microsoft.com/sharepoint/v3/contenttype/forms"/>
  </ds:schemaRefs>
</ds:datastoreItem>
</file>

<file path=customXml/itemProps3.xml><?xml version="1.0" encoding="utf-8"?>
<ds:datastoreItem xmlns:ds="http://schemas.openxmlformats.org/officeDocument/2006/customXml" ds:itemID="{42DFDB01-A4C3-4611-A941-464E14ED2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4</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Fieldman</dc:creator>
  <cp:keywords/>
  <dc:description/>
  <cp:lastModifiedBy>Jack Balsdon</cp:lastModifiedBy>
  <cp:revision>2</cp:revision>
  <dcterms:created xsi:type="dcterms:W3CDTF">2019-11-15T10:51:00Z</dcterms:created>
  <dcterms:modified xsi:type="dcterms:W3CDTF">2019-11-15T10:51:00Z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0x01010095EB717A4E6C844D92E43CAAAE830F99</vt:lpwstr>
  </property>
</Properties>
</file>