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DE" w:rsidRPr="00175D26" w:rsidRDefault="00CF4F06" w:rsidP="009F6EDE">
      <w:pPr>
        <w:spacing w:after="0" w:line="240" w:lineRule="auto"/>
        <w:rPr>
          <w:rFonts w:eastAsia="Times New Roman" w:cs="Arial"/>
          <w:b/>
          <w:szCs w:val="21"/>
          <w:lang w:val="en" w:eastAsia="en-GB"/>
        </w:rPr>
      </w:pPr>
      <w:r>
        <w:rPr>
          <w:rFonts w:eastAsia="Times New Roman" w:cs="Arial"/>
          <w:b/>
          <w:szCs w:val="21"/>
          <w:lang w:val="en" w:eastAsia="en-GB"/>
        </w:rPr>
        <w:t xml:space="preserve">Engage with </w:t>
      </w:r>
      <w:r w:rsidR="009F6EDE" w:rsidRPr="00175D26">
        <w:rPr>
          <w:rFonts w:eastAsia="Times New Roman" w:cs="Arial"/>
          <w:b/>
          <w:szCs w:val="21"/>
          <w:lang w:val="en" w:eastAsia="en-GB"/>
        </w:rPr>
        <w:t>FTSE 350</w:t>
      </w:r>
      <w:r>
        <w:rPr>
          <w:rFonts w:eastAsia="Times New Roman" w:cs="Arial"/>
          <w:b/>
          <w:szCs w:val="21"/>
          <w:lang w:val="en" w:eastAsia="en-GB"/>
        </w:rPr>
        <w:t xml:space="preserve"> companies failing to comply</w:t>
      </w:r>
      <w:r w:rsidR="009F6EDE" w:rsidRPr="00175D26">
        <w:rPr>
          <w:rFonts w:eastAsia="Times New Roman" w:cs="Arial"/>
          <w:b/>
          <w:szCs w:val="21"/>
          <w:lang w:val="en" w:eastAsia="en-GB"/>
        </w:rPr>
        <w:t xml:space="preserve"> with section 54 of the Modern Slavery Act 2015:</w:t>
      </w:r>
    </w:p>
    <w:p w:rsidR="009F6EDE" w:rsidRPr="00175D26" w:rsidRDefault="009F6EDE" w:rsidP="009F6EDE">
      <w:pPr>
        <w:spacing w:after="0" w:line="240" w:lineRule="auto"/>
        <w:rPr>
          <w:rFonts w:eastAsia="Times New Roman" w:cs="Arial"/>
          <w:szCs w:val="21"/>
          <w:lang w:val="en" w:eastAsia="en-GB"/>
        </w:rPr>
      </w:pPr>
    </w:p>
    <w:p w:rsidR="009F6EDE" w:rsidRPr="00175D26" w:rsidRDefault="009F6EDE" w:rsidP="009F6EDE">
      <w:pPr>
        <w:spacing w:after="0" w:line="240" w:lineRule="auto"/>
        <w:rPr>
          <w:rFonts w:eastAsia="Times New Roman" w:cs="Arial"/>
          <w:b/>
          <w:lang w:val="en" w:eastAsia="en-GB"/>
        </w:rPr>
      </w:pPr>
      <w:r w:rsidRPr="00175D26">
        <w:rPr>
          <w:rFonts w:eastAsia="Times New Roman" w:cs="Arial"/>
          <w:b/>
          <w:lang w:val="en" w:eastAsia="en-GB"/>
        </w:rPr>
        <w:t>Summary</w:t>
      </w:r>
    </w:p>
    <w:p w:rsidR="009F6EDE" w:rsidRDefault="009F6EDE" w:rsidP="009F6EDE">
      <w:pPr>
        <w:spacing w:before="100" w:beforeAutospacing="1" w:after="100" w:afterAutospacing="1" w:line="240" w:lineRule="auto"/>
        <w:rPr>
          <w:rFonts w:eastAsia="Times New Roman" w:cs="Arial"/>
          <w:lang w:val="en" w:eastAsia="en-GB"/>
        </w:rPr>
      </w:pPr>
      <w:r w:rsidRPr="00175D26">
        <w:rPr>
          <w:rFonts w:eastAsia="Times New Roman" w:cs="Arial"/>
          <w:lang w:val="en" w:eastAsia="en-GB"/>
        </w:rPr>
        <w:t xml:space="preserve">Investors are invited to sign and </w:t>
      </w:r>
      <w:r w:rsidR="00FC144E">
        <w:rPr>
          <w:rFonts w:eastAsia="Times New Roman" w:cs="Arial"/>
          <w:lang w:val="en" w:eastAsia="en-GB"/>
        </w:rPr>
        <w:t>support</w:t>
      </w:r>
      <w:r w:rsidRPr="00175D26">
        <w:rPr>
          <w:rFonts w:eastAsia="Times New Roman" w:cs="Arial"/>
          <w:lang w:val="en" w:eastAsia="en-GB"/>
        </w:rPr>
        <w:t xml:space="preserve"> </w:t>
      </w:r>
      <w:r w:rsidR="00973300">
        <w:rPr>
          <w:rFonts w:eastAsia="Times New Roman" w:cs="Arial"/>
          <w:lang w:val="en" w:eastAsia="en-GB"/>
        </w:rPr>
        <w:t>th</w:t>
      </w:r>
      <w:r w:rsidR="00FC144E">
        <w:rPr>
          <w:rFonts w:eastAsia="Times New Roman" w:cs="Arial"/>
          <w:lang w:val="en" w:eastAsia="en-GB"/>
        </w:rPr>
        <w:t>e engagement letters</w:t>
      </w:r>
      <w:hyperlink r:id="rId5" w:history="1"/>
      <w:r w:rsidRPr="00175D26">
        <w:rPr>
          <w:rFonts w:eastAsia="Times New Roman" w:cs="Arial"/>
          <w:lang w:val="en" w:eastAsia="en-GB"/>
        </w:rPr>
        <w:t xml:space="preserve"> </w:t>
      </w:r>
      <w:r w:rsidR="00055836">
        <w:rPr>
          <w:rFonts w:eastAsia="Times New Roman" w:cs="Arial"/>
          <w:lang w:val="en" w:eastAsia="en-GB"/>
        </w:rPr>
        <w:t xml:space="preserve">which </w:t>
      </w:r>
      <w:r w:rsidR="00FC144E">
        <w:rPr>
          <w:rFonts w:eastAsia="Times New Roman" w:cs="Arial"/>
          <w:lang w:val="en" w:eastAsia="en-GB"/>
        </w:rPr>
        <w:t>will be sent to</w:t>
      </w:r>
      <w:r w:rsidR="00055836">
        <w:rPr>
          <w:rFonts w:eastAsia="Times New Roman" w:cs="Arial"/>
          <w:lang w:val="en" w:eastAsia="en-GB"/>
        </w:rPr>
        <w:t xml:space="preserve"> non-compliant</w:t>
      </w:r>
      <w:r w:rsidR="00FC144E">
        <w:rPr>
          <w:rFonts w:eastAsia="Times New Roman" w:cs="Arial"/>
          <w:lang w:val="en" w:eastAsia="en-GB"/>
        </w:rPr>
        <w:t xml:space="preserve"> FTSE 350 companies who have failed to</w:t>
      </w:r>
      <w:r w:rsidRPr="00175D26">
        <w:rPr>
          <w:rFonts w:eastAsia="Times New Roman" w:cs="Arial"/>
          <w:lang w:val="en" w:eastAsia="en-GB"/>
        </w:rPr>
        <w:t xml:space="preserve"> meet the reporting requirements of section 54 of </w:t>
      </w:r>
      <w:r w:rsidR="00912CAD">
        <w:rPr>
          <w:rFonts w:eastAsia="Times New Roman" w:cs="Arial"/>
          <w:lang w:val="en" w:eastAsia="en-GB"/>
        </w:rPr>
        <w:t xml:space="preserve">the Modern Slavery Act 2015. </w:t>
      </w:r>
    </w:p>
    <w:p w:rsidR="00F46D8F" w:rsidRPr="00F46D8F" w:rsidRDefault="00F46D8F" w:rsidP="009F6EDE">
      <w:pPr>
        <w:spacing w:before="100" w:beforeAutospacing="1" w:after="100" w:afterAutospacing="1" w:line="240" w:lineRule="auto"/>
        <w:rPr>
          <w:rFonts w:eastAsia="Times New Roman" w:cs="Arial"/>
          <w:b/>
          <w:lang w:val="en" w:eastAsia="en-GB"/>
        </w:rPr>
      </w:pPr>
      <w:r w:rsidRPr="00F46D8F">
        <w:rPr>
          <w:rFonts w:eastAsia="Times New Roman" w:cs="Arial"/>
          <w:b/>
          <w:lang w:val="en" w:eastAsia="en-GB"/>
        </w:rPr>
        <w:t>Background</w:t>
      </w:r>
    </w:p>
    <w:p w:rsidR="00F46D8F" w:rsidRDefault="00F46D8F" w:rsidP="009F6EDE">
      <w:pPr>
        <w:spacing w:before="100" w:beforeAutospacing="1" w:after="100" w:afterAutospacing="1" w:line="240" w:lineRule="auto"/>
        <w:rPr>
          <w:rFonts w:eastAsia="Times New Roman" w:cs="Arial"/>
          <w:lang w:val="en" w:eastAsia="en-GB"/>
        </w:rPr>
      </w:pPr>
      <w:r>
        <w:rPr>
          <w:rFonts w:eastAsia="Times New Roman" w:cs="Arial"/>
          <w:lang w:val="en" w:eastAsia="en-GB"/>
        </w:rPr>
        <w:t xml:space="preserve">Modern slavery is a widespread, criminal activity which has a significant economic impact globally. It is estimated to be a $150 billion </w:t>
      </w:r>
      <w:r w:rsidR="00924314">
        <w:rPr>
          <w:rFonts w:eastAsia="Times New Roman" w:cs="Arial"/>
          <w:lang w:val="en" w:eastAsia="en-GB"/>
        </w:rPr>
        <w:t xml:space="preserve">trade which involves </w:t>
      </w:r>
      <w:r>
        <w:rPr>
          <w:rFonts w:eastAsia="Times New Roman" w:cs="Arial"/>
          <w:lang w:val="en" w:eastAsia="en-GB"/>
        </w:rPr>
        <w:t xml:space="preserve">approximately 40.3 million in some form of slavery. </w:t>
      </w:r>
      <w:r w:rsidR="00E9431A">
        <w:rPr>
          <w:rFonts w:eastAsia="Times New Roman" w:cs="Arial"/>
          <w:lang w:val="en" w:eastAsia="en-GB"/>
        </w:rPr>
        <w:t xml:space="preserve">The exploitation of people through forced labour and sexual slavery has been </w:t>
      </w:r>
      <w:r w:rsidR="00055836">
        <w:rPr>
          <w:rFonts w:eastAsia="Times New Roman" w:cs="Arial"/>
          <w:lang w:val="en" w:eastAsia="en-GB"/>
        </w:rPr>
        <w:t>fueled</w:t>
      </w:r>
      <w:r w:rsidR="00E9431A">
        <w:rPr>
          <w:rFonts w:eastAsia="Times New Roman" w:cs="Arial"/>
          <w:lang w:val="en" w:eastAsia="en-GB"/>
        </w:rPr>
        <w:t xml:space="preserve"> by a growing number of global migrants in search of prosperity (estimated at 60 million in 2019)</w:t>
      </w:r>
      <w:r w:rsidR="00F413D7">
        <w:rPr>
          <w:rFonts w:eastAsia="Times New Roman" w:cs="Arial"/>
          <w:lang w:val="en" w:eastAsia="en-GB"/>
        </w:rPr>
        <w:t xml:space="preserve">, </w:t>
      </w:r>
      <w:r>
        <w:rPr>
          <w:rFonts w:eastAsia="Times New Roman" w:cs="Arial"/>
          <w:lang w:val="en" w:eastAsia="en-GB"/>
        </w:rPr>
        <w:t xml:space="preserve">more complex supply chains </w:t>
      </w:r>
      <w:r w:rsidR="00E9431A">
        <w:rPr>
          <w:rFonts w:eastAsia="Times New Roman" w:cs="Arial"/>
          <w:lang w:val="en" w:eastAsia="en-GB"/>
        </w:rPr>
        <w:t>(brought about by globalisation)</w:t>
      </w:r>
      <w:r w:rsidR="00F413D7">
        <w:rPr>
          <w:rFonts w:eastAsia="Times New Roman" w:cs="Arial"/>
          <w:lang w:val="en" w:eastAsia="en-GB"/>
        </w:rPr>
        <w:t xml:space="preserve"> and weak enforcement by regulators</w:t>
      </w:r>
      <w:r w:rsidR="00E9431A">
        <w:rPr>
          <w:rFonts w:eastAsia="Times New Roman" w:cs="Arial"/>
          <w:lang w:val="en" w:eastAsia="en-GB"/>
        </w:rPr>
        <w:t>.</w:t>
      </w:r>
      <w:r>
        <w:rPr>
          <w:rFonts w:eastAsia="Times New Roman" w:cs="Arial"/>
          <w:lang w:val="en" w:eastAsia="en-GB"/>
        </w:rPr>
        <w:t xml:space="preserve"> </w:t>
      </w:r>
    </w:p>
    <w:p w:rsidR="00544534" w:rsidRDefault="00F46D8F" w:rsidP="009F6EDE">
      <w:pPr>
        <w:spacing w:before="100" w:beforeAutospacing="1" w:after="100" w:afterAutospacing="1" w:line="240" w:lineRule="auto"/>
        <w:rPr>
          <w:rFonts w:eastAsia="Times New Roman" w:cs="Arial"/>
          <w:lang w:val="en" w:eastAsia="en-GB"/>
        </w:rPr>
      </w:pPr>
      <w:r>
        <w:rPr>
          <w:rFonts w:eastAsia="Times New Roman" w:cs="Arial"/>
          <w:lang w:val="en" w:eastAsia="en-GB"/>
        </w:rPr>
        <w:t>We believe that businesses have a key role to play in tackling this issue</w:t>
      </w:r>
      <w:r w:rsidR="00055836">
        <w:rPr>
          <w:rFonts w:eastAsia="Times New Roman" w:cs="Arial"/>
          <w:lang w:val="en" w:eastAsia="en-GB"/>
        </w:rPr>
        <w:t xml:space="preserve"> by making their own supply chains more robust</w:t>
      </w:r>
      <w:r>
        <w:rPr>
          <w:rFonts w:eastAsia="Times New Roman" w:cs="Arial"/>
          <w:lang w:val="en" w:eastAsia="en-GB"/>
        </w:rPr>
        <w:t xml:space="preserve">. </w:t>
      </w:r>
      <w:r w:rsidR="00CF4F06">
        <w:rPr>
          <w:rFonts w:eastAsia="Times New Roman" w:cs="Arial"/>
          <w:lang w:val="en" w:eastAsia="en-GB"/>
        </w:rPr>
        <w:t xml:space="preserve">To do so is in the interests of investors as they </w:t>
      </w:r>
      <w:r>
        <w:rPr>
          <w:rFonts w:eastAsia="Times New Roman" w:cs="Arial"/>
          <w:lang w:val="en" w:eastAsia="en-GB"/>
        </w:rPr>
        <w:t xml:space="preserve">may suffer significant brand and reputational damage if human trafficking is found in their </w:t>
      </w:r>
      <w:r w:rsidR="00F413D7">
        <w:rPr>
          <w:rFonts w:eastAsia="Times New Roman" w:cs="Arial"/>
          <w:lang w:val="en" w:eastAsia="en-GB"/>
        </w:rPr>
        <w:t>business</w:t>
      </w:r>
      <w:r>
        <w:rPr>
          <w:rFonts w:eastAsia="Times New Roman" w:cs="Arial"/>
          <w:lang w:val="en" w:eastAsia="en-GB"/>
        </w:rPr>
        <w:t xml:space="preserve"> and no effort has been made</w:t>
      </w:r>
      <w:r w:rsidR="00096E34">
        <w:rPr>
          <w:rFonts w:eastAsia="Times New Roman" w:cs="Arial"/>
          <w:lang w:val="en" w:eastAsia="en-GB"/>
        </w:rPr>
        <w:t xml:space="preserve"> by the company</w:t>
      </w:r>
      <w:r>
        <w:rPr>
          <w:rFonts w:eastAsia="Times New Roman" w:cs="Arial"/>
          <w:lang w:val="en" w:eastAsia="en-GB"/>
        </w:rPr>
        <w:t xml:space="preserve"> to </w:t>
      </w:r>
      <w:r w:rsidR="00096E34">
        <w:rPr>
          <w:rFonts w:eastAsia="Times New Roman" w:cs="Arial"/>
          <w:lang w:val="en" w:eastAsia="en-GB"/>
        </w:rPr>
        <w:t xml:space="preserve">provide </w:t>
      </w:r>
      <w:r w:rsidR="00055836">
        <w:rPr>
          <w:rFonts w:eastAsia="Times New Roman" w:cs="Arial"/>
          <w:lang w:val="en" w:eastAsia="en-GB"/>
        </w:rPr>
        <w:t>remediation</w:t>
      </w:r>
      <w:r>
        <w:rPr>
          <w:rFonts w:eastAsia="Times New Roman" w:cs="Arial"/>
          <w:lang w:val="en" w:eastAsia="en-GB"/>
        </w:rPr>
        <w:t xml:space="preserve">. Given the systemic nature of modern slavery and the serious risk it poses to businesses and investors, we expect </w:t>
      </w:r>
      <w:r w:rsidR="00924314">
        <w:rPr>
          <w:rFonts w:eastAsia="Times New Roman" w:cs="Arial"/>
          <w:lang w:val="en" w:eastAsia="en-GB"/>
        </w:rPr>
        <w:t xml:space="preserve">all UK businesses covered by the Act </w:t>
      </w:r>
      <w:r>
        <w:rPr>
          <w:rFonts w:eastAsia="Times New Roman" w:cs="Arial"/>
          <w:lang w:val="en" w:eastAsia="en-GB"/>
        </w:rPr>
        <w:t>to meet the reporting requirements of the Mod</w:t>
      </w:r>
      <w:r w:rsidR="00FA1582">
        <w:rPr>
          <w:rFonts w:eastAsia="Times New Roman" w:cs="Arial"/>
          <w:lang w:val="en" w:eastAsia="en-GB"/>
        </w:rPr>
        <w:t>ern Slavery Act</w:t>
      </w:r>
      <w:r w:rsidR="00924314">
        <w:rPr>
          <w:rFonts w:eastAsia="Times New Roman" w:cs="Arial"/>
          <w:lang w:val="en" w:eastAsia="en-GB"/>
        </w:rPr>
        <w:t>. We further expect the members of the FTSE</w:t>
      </w:r>
      <w:r w:rsidR="00C65507">
        <w:rPr>
          <w:rFonts w:eastAsia="Times New Roman" w:cs="Arial"/>
          <w:lang w:val="en" w:eastAsia="en-GB"/>
        </w:rPr>
        <w:t xml:space="preserve"> </w:t>
      </w:r>
      <w:r w:rsidR="00924314">
        <w:rPr>
          <w:rFonts w:eastAsia="Times New Roman" w:cs="Arial"/>
          <w:lang w:val="en" w:eastAsia="en-GB"/>
        </w:rPr>
        <w:t>350 to be leading in this area,</w:t>
      </w:r>
      <w:r w:rsidR="00544534">
        <w:rPr>
          <w:rFonts w:eastAsia="Times New Roman" w:cs="Arial"/>
          <w:lang w:val="en" w:eastAsia="en-GB"/>
        </w:rPr>
        <w:t xml:space="preserve"> and to take substantial action </w:t>
      </w:r>
      <w:r w:rsidR="00544534" w:rsidRPr="00096E34">
        <w:rPr>
          <w:rFonts w:eastAsia="Times New Roman" w:cs="Arial"/>
          <w:lang w:val="en" w:eastAsia="en-GB"/>
        </w:rPr>
        <w:t>to address the prevalence of slavery within their supply chains</w:t>
      </w:r>
      <w:r w:rsidR="00FA1582">
        <w:rPr>
          <w:rFonts w:eastAsia="Times New Roman" w:cs="Arial"/>
          <w:lang w:val="en" w:eastAsia="en-GB"/>
        </w:rPr>
        <w:t>.</w:t>
      </w:r>
      <w:r w:rsidR="00544534" w:rsidRPr="00544534">
        <w:rPr>
          <w:rFonts w:eastAsia="Times New Roman" w:cs="Arial"/>
          <w:lang w:val="en" w:eastAsia="en-GB"/>
        </w:rPr>
        <w:t xml:space="preserve"> </w:t>
      </w:r>
    </w:p>
    <w:p w:rsidR="00F46D8F" w:rsidRDefault="00CF4F06" w:rsidP="009F6EDE">
      <w:pPr>
        <w:spacing w:before="100" w:beforeAutospacing="1" w:after="100" w:afterAutospacing="1" w:line="240" w:lineRule="auto"/>
        <w:rPr>
          <w:rFonts w:eastAsia="Times New Roman" w:cs="Arial"/>
          <w:lang w:val="en" w:eastAsia="en-GB"/>
        </w:rPr>
      </w:pPr>
      <w:r>
        <w:rPr>
          <w:rFonts w:eastAsia="Times New Roman" w:cs="Arial"/>
          <w:lang w:val="en" w:eastAsia="en-GB"/>
        </w:rPr>
        <w:t>The 2015</w:t>
      </w:r>
      <w:r w:rsidR="00544534">
        <w:rPr>
          <w:rFonts w:eastAsia="Times New Roman" w:cs="Arial"/>
          <w:lang w:val="en" w:eastAsia="en-GB"/>
        </w:rPr>
        <w:t xml:space="preserve"> Modern Slavery Act</w:t>
      </w:r>
      <w:r>
        <w:rPr>
          <w:rFonts w:eastAsia="Times New Roman" w:cs="Arial"/>
          <w:lang w:val="en" w:eastAsia="en-GB"/>
        </w:rPr>
        <w:t xml:space="preserve"> was a landmark piece of legislation, requiring all companies over  a</w:t>
      </w:r>
      <w:r w:rsidR="00912CAD">
        <w:rPr>
          <w:rFonts w:eastAsia="Times New Roman" w:cs="Arial"/>
          <w:lang w:val="en" w:eastAsia="en-GB"/>
        </w:rPr>
        <w:t xml:space="preserve"> </w:t>
      </w:r>
      <w:r>
        <w:rPr>
          <w:rFonts w:eastAsia="Times New Roman" w:cs="Arial"/>
          <w:lang w:val="en" w:eastAsia="en-GB"/>
        </w:rPr>
        <w:t>certain size operating in the UK to report in detail on their approach to finding and eliminating modern slavery within their supply chains. The qualit</w:t>
      </w:r>
      <w:r w:rsidR="00C65507">
        <w:rPr>
          <w:rFonts w:eastAsia="Times New Roman" w:cs="Arial"/>
          <w:lang w:val="en" w:eastAsia="en-GB"/>
        </w:rPr>
        <w:t xml:space="preserve">y of reporting delivered under Section </w:t>
      </w:r>
      <w:r>
        <w:rPr>
          <w:rFonts w:eastAsia="Times New Roman" w:cs="Arial"/>
          <w:lang w:val="en" w:eastAsia="en-GB"/>
        </w:rPr>
        <w:t>54 of the Act</w:t>
      </w:r>
      <w:r w:rsidR="00544534">
        <w:rPr>
          <w:rFonts w:eastAsia="Times New Roman" w:cs="Arial"/>
          <w:lang w:val="en" w:eastAsia="en-GB"/>
        </w:rPr>
        <w:t xml:space="preserve"> can act as an important marker for how seriously senior management are taking this risk. It improves accountability and </w:t>
      </w:r>
      <w:r w:rsidR="00E9431A">
        <w:rPr>
          <w:rFonts w:eastAsia="Times New Roman" w:cs="Arial"/>
          <w:lang w:val="en" w:eastAsia="en-GB"/>
        </w:rPr>
        <w:t xml:space="preserve">enables companies to identify the areas of their business most at risk. </w:t>
      </w:r>
      <w:r w:rsidR="00544534">
        <w:rPr>
          <w:rFonts w:eastAsia="Times New Roman" w:cs="Arial"/>
          <w:lang w:val="en" w:eastAsia="en-GB"/>
        </w:rPr>
        <w:t>Companies which meet the reporting requirements and clearly disclose the areas of their businesses mo</w:t>
      </w:r>
      <w:r>
        <w:rPr>
          <w:rFonts w:eastAsia="Times New Roman" w:cs="Arial"/>
          <w:lang w:val="en" w:eastAsia="en-GB"/>
        </w:rPr>
        <w:t>st susceptible to modern slavery</w:t>
      </w:r>
      <w:r w:rsidR="00544534">
        <w:rPr>
          <w:rFonts w:eastAsia="Times New Roman" w:cs="Arial"/>
          <w:lang w:val="en" w:eastAsia="en-GB"/>
        </w:rPr>
        <w:t xml:space="preserve"> </w:t>
      </w:r>
      <w:r>
        <w:rPr>
          <w:rFonts w:eastAsia="Times New Roman" w:cs="Arial"/>
          <w:lang w:val="en" w:eastAsia="en-GB"/>
        </w:rPr>
        <w:t>benefit from increased investor confidence.</w:t>
      </w:r>
      <w:r w:rsidR="00544534">
        <w:rPr>
          <w:rFonts w:eastAsia="Times New Roman" w:cs="Arial"/>
          <w:lang w:val="en" w:eastAsia="en-GB"/>
        </w:rPr>
        <w:t xml:space="preserve"> Conversely, non-compliance with the Modern Slavery Act poses as a serious risk to long-term investors and questions the suitability of investing in such companies.</w:t>
      </w:r>
    </w:p>
    <w:p w:rsidR="00CF4F06" w:rsidRPr="00CF4F06" w:rsidRDefault="00CF4F06" w:rsidP="009F6EDE">
      <w:pPr>
        <w:spacing w:before="100" w:beforeAutospacing="1" w:after="100" w:afterAutospacing="1" w:line="240" w:lineRule="auto"/>
        <w:rPr>
          <w:rFonts w:eastAsia="Times New Roman" w:cs="Arial"/>
          <w:b/>
          <w:lang w:val="en" w:eastAsia="en-GB"/>
        </w:rPr>
      </w:pPr>
      <w:r w:rsidRPr="00CF4F06">
        <w:rPr>
          <w:rFonts w:eastAsia="Times New Roman" w:cs="Arial"/>
          <w:b/>
          <w:lang w:val="en" w:eastAsia="en-GB"/>
        </w:rPr>
        <w:t xml:space="preserve">Method of engagement </w:t>
      </w:r>
    </w:p>
    <w:p w:rsidR="00096E34" w:rsidRPr="00096E34" w:rsidRDefault="00096E34" w:rsidP="00096E34">
      <w:pPr>
        <w:pStyle w:val="Default"/>
        <w:spacing w:after="147"/>
        <w:rPr>
          <w:rFonts w:asciiTheme="minorHAnsi" w:eastAsia="Times New Roman" w:hAnsiTheme="minorHAnsi" w:cs="Arial"/>
          <w:sz w:val="22"/>
          <w:szCs w:val="22"/>
          <w:lang w:val="en" w:eastAsia="en-GB"/>
        </w:rPr>
      </w:pPr>
      <w:r w:rsidRPr="00096E34">
        <w:rPr>
          <w:rFonts w:asciiTheme="minorHAnsi" w:eastAsia="Times New Roman" w:hAnsiTheme="minorHAnsi" w:cs="Arial"/>
          <w:sz w:val="22"/>
          <w:szCs w:val="22"/>
          <w:lang w:val="en" w:eastAsia="en-GB"/>
        </w:rPr>
        <w:t>Under the Modern Slavery Act</w:t>
      </w:r>
      <w:r w:rsidR="00912CAD">
        <w:rPr>
          <w:rFonts w:asciiTheme="minorHAnsi" w:eastAsia="Times New Roman" w:hAnsiTheme="minorHAnsi" w:cs="Arial"/>
          <w:sz w:val="22"/>
          <w:szCs w:val="22"/>
          <w:lang w:val="en" w:eastAsia="en-GB"/>
        </w:rPr>
        <w:t xml:space="preserve"> 2015</w:t>
      </w:r>
      <w:r w:rsidRPr="00096E34">
        <w:rPr>
          <w:rFonts w:asciiTheme="minorHAnsi" w:eastAsia="Times New Roman" w:hAnsiTheme="minorHAnsi" w:cs="Arial"/>
          <w:sz w:val="22"/>
          <w:szCs w:val="22"/>
          <w:lang w:val="en" w:eastAsia="en-GB"/>
        </w:rPr>
        <w:t>,</w:t>
      </w:r>
      <w:r w:rsidR="00912CAD">
        <w:rPr>
          <w:rFonts w:asciiTheme="minorHAnsi" w:eastAsia="Times New Roman" w:hAnsiTheme="minorHAnsi" w:cs="Arial"/>
          <w:sz w:val="22"/>
          <w:szCs w:val="22"/>
          <w:lang w:val="en" w:eastAsia="en-GB"/>
        </w:rPr>
        <w:t xml:space="preserve"> qualifying businesses operating in the UK must produce</w:t>
      </w:r>
      <w:r w:rsidRPr="00096E34">
        <w:rPr>
          <w:rFonts w:asciiTheme="minorHAnsi" w:eastAsia="Times New Roman" w:hAnsiTheme="minorHAnsi" w:cs="Arial"/>
          <w:sz w:val="22"/>
          <w:szCs w:val="22"/>
          <w:lang w:val="en" w:eastAsia="en-GB"/>
        </w:rPr>
        <w:t xml:space="preserve"> human trafficking and modern slavery statements meet</w:t>
      </w:r>
      <w:r w:rsidR="00912CAD">
        <w:rPr>
          <w:rFonts w:asciiTheme="minorHAnsi" w:eastAsia="Times New Roman" w:hAnsiTheme="minorHAnsi" w:cs="Arial"/>
          <w:sz w:val="22"/>
          <w:szCs w:val="22"/>
          <w:lang w:val="en" w:eastAsia="en-GB"/>
        </w:rPr>
        <w:t>ing</w:t>
      </w:r>
      <w:r w:rsidRPr="00096E34">
        <w:rPr>
          <w:rFonts w:asciiTheme="minorHAnsi" w:eastAsia="Times New Roman" w:hAnsiTheme="minorHAnsi" w:cs="Arial"/>
          <w:sz w:val="22"/>
          <w:szCs w:val="22"/>
          <w:lang w:val="en" w:eastAsia="en-GB"/>
        </w:rPr>
        <w:t xml:space="preserve"> the following requirements:</w:t>
      </w:r>
    </w:p>
    <w:p w:rsidR="00096E34" w:rsidRPr="00096E34" w:rsidRDefault="00096E34" w:rsidP="00096E34">
      <w:pPr>
        <w:pStyle w:val="Default"/>
        <w:numPr>
          <w:ilvl w:val="0"/>
          <w:numId w:val="1"/>
        </w:numPr>
        <w:spacing w:after="147"/>
        <w:rPr>
          <w:rFonts w:asciiTheme="minorHAnsi" w:hAnsiTheme="minorHAnsi"/>
          <w:sz w:val="22"/>
          <w:szCs w:val="22"/>
        </w:rPr>
      </w:pPr>
      <w:r w:rsidRPr="00096E34">
        <w:rPr>
          <w:rFonts w:asciiTheme="minorHAnsi" w:hAnsiTheme="minorHAnsi"/>
          <w:sz w:val="22"/>
          <w:szCs w:val="22"/>
        </w:rPr>
        <w:t xml:space="preserve">Statements must be published on the company’s website, if it has one, and a link to the statement must be placed in a prominent place on the website’s homepage. </w:t>
      </w:r>
    </w:p>
    <w:p w:rsidR="00096E34" w:rsidRPr="00096E34" w:rsidRDefault="00096E34" w:rsidP="00096E34">
      <w:pPr>
        <w:pStyle w:val="Default"/>
        <w:numPr>
          <w:ilvl w:val="0"/>
          <w:numId w:val="1"/>
        </w:numPr>
        <w:spacing w:after="147"/>
        <w:rPr>
          <w:rFonts w:asciiTheme="minorHAnsi" w:hAnsiTheme="minorHAnsi"/>
          <w:sz w:val="22"/>
          <w:szCs w:val="22"/>
        </w:rPr>
      </w:pPr>
      <w:r w:rsidRPr="00096E34">
        <w:rPr>
          <w:rFonts w:asciiTheme="minorHAnsi" w:hAnsiTheme="minorHAnsi"/>
          <w:sz w:val="22"/>
          <w:szCs w:val="22"/>
        </w:rPr>
        <w:t>Statements must be approved by the board of directors (or equivalent management body).</w:t>
      </w:r>
    </w:p>
    <w:p w:rsidR="00096E34" w:rsidRPr="00096E34" w:rsidRDefault="00096E34" w:rsidP="00096E34">
      <w:pPr>
        <w:pStyle w:val="Default"/>
        <w:numPr>
          <w:ilvl w:val="0"/>
          <w:numId w:val="1"/>
        </w:numPr>
        <w:spacing w:after="147"/>
        <w:rPr>
          <w:rFonts w:asciiTheme="minorHAnsi" w:hAnsiTheme="minorHAnsi"/>
          <w:sz w:val="22"/>
          <w:szCs w:val="22"/>
        </w:rPr>
      </w:pPr>
      <w:r w:rsidRPr="00096E34">
        <w:rPr>
          <w:rFonts w:asciiTheme="minorHAnsi" w:hAnsiTheme="minorHAnsi"/>
          <w:sz w:val="22"/>
          <w:szCs w:val="22"/>
        </w:rPr>
        <w:t xml:space="preserve">Statements must be signed by a director (or equivalent). </w:t>
      </w:r>
    </w:p>
    <w:p w:rsidR="00096E34" w:rsidRDefault="00096E34" w:rsidP="00096E34">
      <w:pPr>
        <w:pStyle w:val="Default"/>
        <w:numPr>
          <w:ilvl w:val="0"/>
          <w:numId w:val="1"/>
        </w:numPr>
        <w:spacing w:after="147"/>
        <w:rPr>
          <w:rFonts w:asciiTheme="minorHAnsi" w:hAnsiTheme="minorHAnsi"/>
          <w:sz w:val="22"/>
          <w:szCs w:val="22"/>
        </w:rPr>
      </w:pPr>
      <w:r w:rsidRPr="00096E34">
        <w:rPr>
          <w:rFonts w:asciiTheme="minorHAnsi" w:hAnsiTheme="minorHAnsi"/>
          <w:sz w:val="22"/>
          <w:szCs w:val="22"/>
        </w:rPr>
        <w:t xml:space="preserve">Statements must be published annually. </w:t>
      </w:r>
    </w:p>
    <w:p w:rsidR="00CF4F06" w:rsidRDefault="00CF4F06" w:rsidP="00CF4F06">
      <w:pPr>
        <w:pStyle w:val="Default"/>
        <w:spacing w:after="147"/>
        <w:rPr>
          <w:rFonts w:asciiTheme="minorHAnsi" w:hAnsiTheme="minorHAnsi"/>
          <w:sz w:val="22"/>
          <w:szCs w:val="22"/>
        </w:rPr>
      </w:pPr>
      <w:r>
        <w:rPr>
          <w:rFonts w:asciiTheme="minorHAnsi" w:hAnsiTheme="minorHAnsi"/>
          <w:sz w:val="22"/>
          <w:szCs w:val="22"/>
        </w:rPr>
        <w:t>In the 2019 AGM season, Rathbones determined to abstain our vote on the approval of the annual report and accounts at FTSE100 companies we determined not to be in compliance.</w:t>
      </w:r>
    </w:p>
    <w:p w:rsidR="00CF4F06" w:rsidRDefault="00CF4F06" w:rsidP="00CF4F06">
      <w:pPr>
        <w:pStyle w:val="Default"/>
        <w:spacing w:after="147"/>
        <w:rPr>
          <w:rFonts w:asciiTheme="minorHAnsi" w:hAnsiTheme="minorHAnsi"/>
          <w:sz w:val="22"/>
          <w:szCs w:val="22"/>
        </w:rPr>
      </w:pPr>
      <w:r>
        <w:rPr>
          <w:rFonts w:asciiTheme="minorHAnsi" w:hAnsiTheme="minorHAnsi"/>
          <w:sz w:val="22"/>
          <w:szCs w:val="22"/>
        </w:rPr>
        <w:t xml:space="preserve">Given the success of our engagement with these companies, we now invite PRI members to join with our expanded efforts in 2020. </w:t>
      </w:r>
    </w:p>
    <w:p w:rsidR="00912CAD" w:rsidRDefault="00CF4F06" w:rsidP="00CF4F06">
      <w:pPr>
        <w:pStyle w:val="Default"/>
        <w:spacing w:after="147"/>
        <w:rPr>
          <w:rFonts w:asciiTheme="minorHAnsi" w:hAnsiTheme="minorHAnsi"/>
          <w:sz w:val="22"/>
          <w:szCs w:val="22"/>
        </w:rPr>
      </w:pPr>
      <w:r>
        <w:rPr>
          <w:rFonts w:asciiTheme="minorHAnsi" w:hAnsiTheme="minorHAnsi"/>
          <w:sz w:val="22"/>
          <w:szCs w:val="22"/>
        </w:rPr>
        <w:lastRenderedPageBreak/>
        <w:t>Using research provided by the</w:t>
      </w:r>
      <w:r w:rsidRPr="00CF4F06">
        <w:rPr>
          <w:rFonts w:asciiTheme="minorHAnsi" w:hAnsiTheme="minorHAnsi"/>
          <w:sz w:val="22"/>
          <w:szCs w:val="22"/>
        </w:rPr>
        <w:t xml:space="preserve"> Business and </w:t>
      </w:r>
      <w:r>
        <w:rPr>
          <w:rFonts w:asciiTheme="minorHAnsi" w:hAnsiTheme="minorHAnsi"/>
          <w:sz w:val="22"/>
          <w:szCs w:val="22"/>
        </w:rPr>
        <w:t xml:space="preserve">Human Rights Resource Centre we have identified </w:t>
      </w:r>
      <w:r w:rsidRPr="00CF4F06">
        <w:rPr>
          <w:rFonts w:asciiTheme="minorHAnsi" w:hAnsiTheme="minorHAnsi"/>
          <w:sz w:val="22"/>
          <w:szCs w:val="22"/>
        </w:rPr>
        <w:t xml:space="preserve">those </w:t>
      </w:r>
      <w:r>
        <w:rPr>
          <w:rFonts w:asciiTheme="minorHAnsi" w:hAnsiTheme="minorHAnsi"/>
          <w:sz w:val="22"/>
          <w:szCs w:val="22"/>
        </w:rPr>
        <w:t>FTSE</w:t>
      </w:r>
      <w:r w:rsidR="00C65507">
        <w:rPr>
          <w:rFonts w:asciiTheme="minorHAnsi" w:hAnsiTheme="minorHAnsi"/>
          <w:sz w:val="22"/>
          <w:szCs w:val="22"/>
        </w:rPr>
        <w:t xml:space="preserve"> </w:t>
      </w:r>
      <w:r>
        <w:rPr>
          <w:rFonts w:asciiTheme="minorHAnsi" w:hAnsiTheme="minorHAnsi"/>
          <w:sz w:val="22"/>
          <w:szCs w:val="22"/>
        </w:rPr>
        <w:t xml:space="preserve">350 </w:t>
      </w:r>
      <w:r w:rsidRPr="00CF4F06">
        <w:rPr>
          <w:rFonts w:asciiTheme="minorHAnsi" w:hAnsiTheme="minorHAnsi"/>
          <w:sz w:val="22"/>
          <w:szCs w:val="22"/>
        </w:rPr>
        <w:t xml:space="preserve">companies </w:t>
      </w:r>
      <w:r w:rsidR="00912CAD">
        <w:rPr>
          <w:rFonts w:asciiTheme="minorHAnsi" w:hAnsiTheme="minorHAnsi"/>
          <w:sz w:val="22"/>
          <w:szCs w:val="22"/>
        </w:rPr>
        <w:t>which</w:t>
      </w:r>
      <w:r w:rsidRPr="00CF4F06">
        <w:rPr>
          <w:rFonts w:asciiTheme="minorHAnsi" w:hAnsiTheme="minorHAnsi"/>
          <w:sz w:val="22"/>
          <w:szCs w:val="22"/>
        </w:rPr>
        <w:t xml:space="preserve"> have failed to meet the reporting requirements of Section 54 of the Modern Slavery Act.</w:t>
      </w:r>
      <w:r>
        <w:rPr>
          <w:rFonts w:asciiTheme="minorHAnsi" w:hAnsiTheme="minorHAnsi"/>
          <w:sz w:val="22"/>
          <w:szCs w:val="22"/>
        </w:rPr>
        <w:t xml:space="preserve"> </w:t>
      </w:r>
    </w:p>
    <w:p w:rsidR="00CF4F06" w:rsidRDefault="00CF4F06" w:rsidP="00CF4F06">
      <w:pPr>
        <w:pStyle w:val="Default"/>
        <w:spacing w:after="147"/>
        <w:rPr>
          <w:rFonts w:asciiTheme="minorHAnsi" w:hAnsiTheme="minorHAnsi"/>
          <w:sz w:val="22"/>
          <w:szCs w:val="22"/>
        </w:rPr>
      </w:pPr>
      <w:r>
        <w:rPr>
          <w:rFonts w:asciiTheme="minorHAnsi" w:hAnsiTheme="minorHAnsi"/>
          <w:sz w:val="22"/>
          <w:szCs w:val="22"/>
        </w:rPr>
        <w:t xml:space="preserve">We </w:t>
      </w:r>
      <w:r w:rsidR="00924314">
        <w:rPr>
          <w:rFonts w:asciiTheme="minorHAnsi" w:hAnsiTheme="minorHAnsi"/>
          <w:sz w:val="22"/>
          <w:szCs w:val="22"/>
        </w:rPr>
        <w:t>propose to w</w:t>
      </w:r>
      <w:r>
        <w:rPr>
          <w:rFonts w:asciiTheme="minorHAnsi" w:hAnsiTheme="minorHAnsi"/>
          <w:sz w:val="22"/>
          <w:szCs w:val="22"/>
        </w:rPr>
        <w:t>rite to the board of each non-compliant company with a targeted letter explaining the nature of non-compliance, the steps needed to achieve compliance, and a clear explanation that members of the engagement</w:t>
      </w:r>
      <w:r w:rsidR="00924314">
        <w:rPr>
          <w:rFonts w:asciiTheme="minorHAnsi" w:hAnsiTheme="minorHAnsi"/>
          <w:sz w:val="22"/>
          <w:szCs w:val="22"/>
        </w:rPr>
        <w:t xml:space="preserve"> coalition</w:t>
      </w:r>
      <w:r>
        <w:rPr>
          <w:rFonts w:asciiTheme="minorHAnsi" w:hAnsiTheme="minorHAnsi"/>
          <w:sz w:val="22"/>
          <w:szCs w:val="22"/>
        </w:rPr>
        <w:t xml:space="preserve"> will </w:t>
      </w:r>
      <w:r w:rsidRPr="00924314">
        <w:rPr>
          <w:rFonts w:asciiTheme="minorHAnsi" w:hAnsiTheme="minorHAnsi"/>
          <w:i/>
          <w:sz w:val="22"/>
          <w:szCs w:val="22"/>
        </w:rPr>
        <w:t>consider</w:t>
      </w:r>
      <w:r>
        <w:rPr>
          <w:rFonts w:asciiTheme="minorHAnsi" w:hAnsiTheme="minorHAnsi"/>
          <w:sz w:val="22"/>
          <w:szCs w:val="22"/>
        </w:rPr>
        <w:t xml:space="preserve"> withholding their support for the approval of the annual report and accounts at the company’s next AGM should changes </w:t>
      </w:r>
      <w:r w:rsidR="00526B25">
        <w:rPr>
          <w:rFonts w:asciiTheme="minorHAnsi" w:hAnsiTheme="minorHAnsi"/>
          <w:sz w:val="22"/>
          <w:szCs w:val="22"/>
        </w:rPr>
        <w:t xml:space="preserve">not occur. </w:t>
      </w:r>
      <w:r>
        <w:rPr>
          <w:rFonts w:asciiTheme="minorHAnsi" w:hAnsiTheme="minorHAnsi"/>
          <w:sz w:val="22"/>
          <w:szCs w:val="22"/>
        </w:rPr>
        <w:t xml:space="preserve"> </w:t>
      </w:r>
    </w:p>
    <w:p w:rsidR="00912CAD" w:rsidRDefault="00912CAD" w:rsidP="00CF4F06">
      <w:pPr>
        <w:pStyle w:val="Default"/>
        <w:spacing w:after="147"/>
        <w:rPr>
          <w:rFonts w:asciiTheme="minorHAnsi" w:hAnsiTheme="minorHAnsi"/>
          <w:sz w:val="22"/>
          <w:szCs w:val="22"/>
        </w:rPr>
      </w:pPr>
      <w:r>
        <w:rPr>
          <w:rFonts w:asciiTheme="minorHAnsi" w:hAnsiTheme="minorHAnsi"/>
          <w:sz w:val="22"/>
          <w:szCs w:val="22"/>
        </w:rPr>
        <w:t>This final step is appropriate given the time elapsed since the passing of the Act. We consider baseline compliance with this minimal reporting regime to</w:t>
      </w:r>
      <w:r w:rsidR="00C65507">
        <w:rPr>
          <w:rFonts w:asciiTheme="minorHAnsi" w:hAnsiTheme="minorHAnsi"/>
          <w:sz w:val="22"/>
          <w:szCs w:val="22"/>
        </w:rPr>
        <w:t xml:space="preserve"> be</w:t>
      </w:r>
      <w:r>
        <w:rPr>
          <w:rFonts w:asciiTheme="minorHAnsi" w:hAnsiTheme="minorHAnsi"/>
          <w:sz w:val="22"/>
          <w:szCs w:val="22"/>
        </w:rPr>
        <w:t xml:space="preserve"> a fundamental requirement expected of all relevant companies covered by the Act. However, supporting the letters does not commit a supporting investor to taking any particular course of action at any subsequent AGM. </w:t>
      </w:r>
      <w:r w:rsidR="00924314">
        <w:rPr>
          <w:rFonts w:asciiTheme="minorHAnsi" w:hAnsiTheme="minorHAnsi"/>
          <w:sz w:val="22"/>
          <w:szCs w:val="22"/>
        </w:rPr>
        <w:t xml:space="preserve">Each member will retain freedom to vote as they see fit, and given our experience of this project in its earlier stages, we expected many companies to achieve compliance by the date of the AGM. </w:t>
      </w:r>
    </w:p>
    <w:p w:rsidR="00CF4F06" w:rsidRPr="00CF4F06" w:rsidRDefault="00CF4F06" w:rsidP="00CF4F06">
      <w:pPr>
        <w:pStyle w:val="Default"/>
        <w:spacing w:after="147"/>
        <w:rPr>
          <w:rFonts w:asciiTheme="minorHAnsi" w:hAnsiTheme="minorHAnsi"/>
          <w:b/>
          <w:sz w:val="22"/>
          <w:szCs w:val="22"/>
        </w:rPr>
      </w:pPr>
    </w:p>
    <w:p w:rsidR="004E56FD" w:rsidRDefault="004E56FD" w:rsidP="009F6EDE">
      <w:pPr>
        <w:spacing w:after="0" w:line="240" w:lineRule="auto"/>
        <w:rPr>
          <w:rFonts w:eastAsia="Times New Roman" w:cs="Arial"/>
          <w:b/>
          <w:lang w:val="en" w:eastAsia="en-GB"/>
        </w:rPr>
      </w:pPr>
      <w:r>
        <w:rPr>
          <w:rFonts w:eastAsia="Times New Roman" w:cs="Arial"/>
          <w:b/>
          <w:lang w:val="en" w:eastAsia="en-GB"/>
        </w:rPr>
        <w:t>Target Companies</w:t>
      </w:r>
    </w:p>
    <w:p w:rsidR="004E56FD" w:rsidRDefault="004E56FD" w:rsidP="009F6EDE">
      <w:pPr>
        <w:spacing w:after="0" w:line="240" w:lineRule="auto"/>
        <w:rPr>
          <w:rFonts w:eastAsia="Times New Roman" w:cs="Arial"/>
          <w:b/>
          <w:lang w:val="en" w:eastAsia="en-GB"/>
        </w:rPr>
      </w:pPr>
    </w:p>
    <w:p w:rsidR="004E56FD" w:rsidRDefault="004E56FD" w:rsidP="009F6EDE">
      <w:pPr>
        <w:spacing w:after="0" w:line="240" w:lineRule="auto"/>
        <w:rPr>
          <w:rFonts w:eastAsia="Times New Roman" w:cs="Arial"/>
          <w:lang w:val="en" w:eastAsia="en-GB"/>
        </w:rPr>
      </w:pPr>
      <w:r w:rsidRPr="004E56FD">
        <w:rPr>
          <w:rFonts w:eastAsia="Times New Roman" w:cs="Arial"/>
          <w:lang w:val="en" w:eastAsia="en-GB"/>
        </w:rPr>
        <w:t>The engagement will target non-compliant FTSE 350</w:t>
      </w:r>
      <w:r w:rsidR="00F413D7">
        <w:rPr>
          <w:rFonts w:eastAsia="Times New Roman" w:cs="Arial"/>
          <w:lang w:val="en" w:eastAsia="en-GB"/>
        </w:rPr>
        <w:t xml:space="preserve"> businesses</w:t>
      </w:r>
      <w:r w:rsidRPr="004E56FD">
        <w:rPr>
          <w:rFonts w:eastAsia="Times New Roman" w:cs="Arial"/>
          <w:lang w:val="en" w:eastAsia="en-GB"/>
        </w:rPr>
        <w:t xml:space="preserve">. </w:t>
      </w:r>
      <w:r w:rsidR="00912CAD">
        <w:rPr>
          <w:rFonts w:eastAsia="Times New Roman" w:cs="Arial"/>
          <w:lang w:val="en" w:eastAsia="en-GB"/>
        </w:rPr>
        <w:t xml:space="preserve">Please note we have focused on operating companies with supply chains, and have omitted Investment Trusts from the proposed engagement </w:t>
      </w:r>
    </w:p>
    <w:p w:rsidR="00FC144E" w:rsidRDefault="00FC144E" w:rsidP="009F6EDE">
      <w:pPr>
        <w:spacing w:after="0" w:line="240" w:lineRule="auto"/>
        <w:rPr>
          <w:rFonts w:eastAsia="Times New Roman" w:cs="Arial"/>
          <w:lang w:val="en" w:eastAsia="en-GB"/>
        </w:rPr>
      </w:pPr>
    </w:p>
    <w:p w:rsidR="00FC144E" w:rsidRDefault="00FC144E" w:rsidP="009F6EDE">
      <w:pPr>
        <w:spacing w:after="0" w:line="240" w:lineRule="auto"/>
      </w:pPr>
      <w:r>
        <w:rPr>
          <w:rFonts w:eastAsia="Times New Roman" w:cs="Arial"/>
          <w:lang w:val="en" w:eastAsia="en-GB"/>
        </w:rPr>
        <w:t xml:space="preserve">The engagement letters will be </w:t>
      </w:r>
      <w:r>
        <w:t xml:space="preserve">tailored depending on the area of non-compliance. </w:t>
      </w:r>
      <w:r w:rsidR="00912CAD">
        <w:t>The general text of each letter will be as stated in the draft letter attached to this post, with specific and tailored details inserted for each company relevant to their particular situation.</w:t>
      </w:r>
      <w:r>
        <w:t xml:space="preserve"> Signatories will be supporting all versions of the engagement letters.</w:t>
      </w:r>
    </w:p>
    <w:p w:rsidR="00912CAD" w:rsidRDefault="00912CAD" w:rsidP="009F6EDE">
      <w:pPr>
        <w:spacing w:after="0" w:line="240" w:lineRule="auto"/>
      </w:pPr>
    </w:p>
    <w:p w:rsidR="00912CAD" w:rsidRDefault="00912CAD" w:rsidP="009F6EDE">
      <w:pPr>
        <w:spacing w:after="0" w:line="240" w:lineRule="auto"/>
      </w:pPr>
      <w:r>
        <w:t xml:space="preserve">The full list of target companies is as follows: </w:t>
      </w:r>
    </w:p>
    <w:p w:rsidR="00912CAD" w:rsidRDefault="00912CAD" w:rsidP="009F6EDE">
      <w:pPr>
        <w:spacing w:after="0" w:line="240" w:lineRule="auto"/>
      </w:pPr>
    </w:p>
    <w:tbl>
      <w:tblP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400"/>
      </w:tblGrid>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888 Holdings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Pearson plc</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Aggreko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Plus500 ltd</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Airtel Africa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PMO Premier Oil plc</w:t>
            </w:r>
          </w:p>
        </w:tc>
      </w:tr>
      <w:tr w:rsidR="00912CAD" w:rsidRPr="00912CAD" w:rsidTr="00912CAD">
        <w:trPr>
          <w:trHeight w:val="315"/>
        </w:trPr>
        <w:tc>
          <w:tcPr>
            <w:tcW w:w="3400" w:type="dxa"/>
            <w:shd w:val="clear" w:color="auto" w:fill="auto"/>
            <w:noWrap/>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AJ Bell</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 xml:space="preserve">Pollen Street Secured Lending </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Ascential</w:t>
            </w:r>
            <w:proofErr w:type="spellEnd"/>
            <w:r w:rsidRPr="00912CAD">
              <w:rPr>
                <w:rFonts w:ascii="Calibri" w:eastAsia="Times New Roman" w:hAnsi="Calibri" w:cs="Calibri"/>
                <w:color w:val="000000"/>
                <w:sz w:val="24"/>
                <w:szCs w:val="24"/>
                <w:lang w:eastAsia="en-GB"/>
              </w:rPr>
              <w:t xml:space="preserve">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Polymetal</w:t>
            </w:r>
            <w:proofErr w:type="spellEnd"/>
            <w:r w:rsidRPr="00912CAD">
              <w:rPr>
                <w:rFonts w:ascii="Calibri" w:eastAsia="Times New Roman" w:hAnsi="Calibri" w:cs="Calibri"/>
                <w:color w:val="000000"/>
                <w:sz w:val="24"/>
                <w:szCs w:val="24"/>
                <w:lang w:eastAsia="en-GB"/>
              </w:rPr>
              <w:t xml:space="preserve"> International plc</w:t>
            </w:r>
          </w:p>
        </w:tc>
      </w:tr>
      <w:tr w:rsidR="00912CAD" w:rsidRPr="00912CAD" w:rsidTr="00912CAD">
        <w:trPr>
          <w:trHeight w:val="315"/>
        </w:trPr>
        <w:tc>
          <w:tcPr>
            <w:tcW w:w="3400" w:type="dxa"/>
            <w:shd w:val="clear" w:color="auto" w:fill="auto"/>
            <w:vAlign w:val="bottom"/>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Bank of Georgia Group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Puretech</w:t>
            </w:r>
            <w:proofErr w:type="spellEnd"/>
            <w:r w:rsidRPr="00912CAD">
              <w:rPr>
                <w:rFonts w:ascii="Calibri" w:eastAsia="Times New Roman" w:hAnsi="Calibri" w:cs="Calibri"/>
                <w:color w:val="000000"/>
                <w:sz w:val="24"/>
                <w:szCs w:val="24"/>
                <w:lang w:eastAsia="en-GB"/>
              </w:rPr>
              <w:t xml:space="preserve"> Health plc</w:t>
            </w:r>
          </w:p>
        </w:tc>
      </w:tr>
      <w:tr w:rsidR="00912CAD" w:rsidRPr="00912CAD" w:rsidTr="00912CAD">
        <w:trPr>
          <w:trHeight w:val="315"/>
        </w:trPr>
        <w:tc>
          <w:tcPr>
            <w:tcW w:w="3400" w:type="dxa"/>
            <w:shd w:val="clear" w:color="auto" w:fill="auto"/>
            <w:noWrap/>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 xml:space="preserve">BBGI </w:t>
            </w:r>
            <w:proofErr w:type="spellStart"/>
            <w:r w:rsidRPr="00912CAD">
              <w:rPr>
                <w:rFonts w:ascii="Calibri" w:eastAsia="Times New Roman" w:hAnsi="Calibri" w:cs="Calibri"/>
                <w:color w:val="000000"/>
                <w:sz w:val="24"/>
                <w:szCs w:val="24"/>
                <w:lang w:eastAsia="en-GB"/>
              </w:rPr>
              <w:t>Sicav</w:t>
            </w:r>
            <w:proofErr w:type="spellEnd"/>
            <w:r w:rsidRPr="00912CAD">
              <w:rPr>
                <w:rFonts w:ascii="Calibri" w:eastAsia="Times New Roman" w:hAnsi="Calibri" w:cs="Calibri"/>
                <w:color w:val="000000"/>
                <w:sz w:val="24"/>
                <w:szCs w:val="24"/>
                <w:lang w:eastAsia="en-GB"/>
              </w:rPr>
              <w:t xml:space="preserve"> S.A.</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 xml:space="preserve">RHI </w:t>
            </w:r>
            <w:proofErr w:type="spellStart"/>
            <w:r w:rsidRPr="00912CAD">
              <w:rPr>
                <w:rFonts w:ascii="Calibri" w:eastAsia="Times New Roman" w:hAnsi="Calibri" w:cs="Calibri"/>
                <w:color w:val="000000"/>
                <w:sz w:val="24"/>
                <w:szCs w:val="24"/>
                <w:lang w:eastAsia="en-GB"/>
              </w:rPr>
              <w:t>Magnesita</w:t>
            </w:r>
            <w:proofErr w:type="spellEnd"/>
            <w:r w:rsidRPr="00912CAD">
              <w:rPr>
                <w:rFonts w:ascii="Calibri" w:eastAsia="Times New Roman" w:hAnsi="Calibri" w:cs="Calibri"/>
                <w:color w:val="000000"/>
                <w:sz w:val="24"/>
                <w:szCs w:val="24"/>
                <w:lang w:eastAsia="en-GB"/>
              </w:rPr>
              <w:t xml:space="preserve"> NV </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Brewin Dolphin Holdings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Safestore</w:t>
            </w:r>
            <w:proofErr w:type="spellEnd"/>
            <w:r w:rsidRPr="00912CAD">
              <w:rPr>
                <w:rFonts w:ascii="Calibri" w:eastAsia="Times New Roman" w:hAnsi="Calibri" w:cs="Calibri"/>
                <w:color w:val="000000"/>
                <w:sz w:val="24"/>
                <w:szCs w:val="24"/>
                <w:lang w:eastAsia="en-GB"/>
              </w:rPr>
              <w:t xml:space="preserve"> Holdings plc</w:t>
            </w:r>
          </w:p>
        </w:tc>
      </w:tr>
      <w:tr w:rsidR="00912CAD" w:rsidRPr="00912CAD" w:rsidTr="00912CAD">
        <w:trPr>
          <w:trHeight w:val="315"/>
        </w:trPr>
        <w:tc>
          <w:tcPr>
            <w:tcW w:w="3400" w:type="dxa"/>
            <w:shd w:val="clear" w:color="auto" w:fill="auto"/>
            <w:noWrap/>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Cairn Energy</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Sirius Real Estate ltd</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Carnival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Sophos Group</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Centrica</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 xml:space="preserve">Spirent Communications </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Dechra</w:t>
            </w:r>
            <w:proofErr w:type="spellEnd"/>
            <w:r w:rsidRPr="00912CAD">
              <w:rPr>
                <w:rFonts w:ascii="Calibri" w:eastAsia="Times New Roman" w:hAnsi="Calibri" w:cs="Calibri"/>
                <w:color w:val="000000"/>
                <w:sz w:val="24"/>
                <w:szCs w:val="24"/>
                <w:lang w:eastAsia="en-GB"/>
              </w:rPr>
              <w:t xml:space="preserve"> Pharmaceuticals </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Sports Direct International plc</w:t>
            </w:r>
          </w:p>
        </w:tc>
      </w:tr>
      <w:tr w:rsidR="00912CAD" w:rsidRPr="00912CAD" w:rsidTr="00912CAD">
        <w:trPr>
          <w:trHeight w:val="315"/>
        </w:trPr>
        <w:tc>
          <w:tcPr>
            <w:tcW w:w="3400" w:type="dxa"/>
            <w:shd w:val="clear" w:color="auto" w:fill="auto"/>
            <w:noWrap/>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Energean</w:t>
            </w:r>
            <w:proofErr w:type="spellEnd"/>
            <w:r w:rsidRPr="00912CAD">
              <w:rPr>
                <w:rFonts w:ascii="Calibri" w:eastAsia="Times New Roman" w:hAnsi="Calibri" w:cs="Calibri"/>
                <w:color w:val="000000"/>
                <w:sz w:val="24"/>
                <w:szCs w:val="24"/>
                <w:lang w:eastAsia="en-GB"/>
              </w:rPr>
              <w:t xml:space="preserve"> Oil &amp; Gas </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Syncona</w:t>
            </w:r>
            <w:proofErr w:type="spellEnd"/>
            <w:r w:rsidRPr="00912CAD">
              <w:rPr>
                <w:rFonts w:ascii="Calibri" w:eastAsia="Times New Roman" w:hAnsi="Calibri" w:cs="Calibri"/>
                <w:color w:val="000000"/>
                <w:sz w:val="24"/>
                <w:szCs w:val="24"/>
                <w:lang w:eastAsia="en-GB"/>
              </w:rPr>
              <w:t xml:space="preserve"> Ltd</w:t>
            </w:r>
          </w:p>
        </w:tc>
      </w:tr>
      <w:tr w:rsidR="00912CAD" w:rsidRPr="00912CAD" w:rsidTr="00912CAD">
        <w:trPr>
          <w:trHeight w:val="315"/>
        </w:trPr>
        <w:tc>
          <w:tcPr>
            <w:tcW w:w="3400" w:type="dxa"/>
            <w:shd w:val="clear" w:color="auto" w:fill="auto"/>
            <w:vAlign w:val="bottom"/>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Finablr</w:t>
            </w:r>
            <w:proofErr w:type="spellEnd"/>
            <w:r w:rsidRPr="00912CAD">
              <w:rPr>
                <w:rFonts w:ascii="Calibri" w:eastAsia="Times New Roman" w:hAnsi="Calibri" w:cs="Calibri"/>
                <w:color w:val="000000"/>
                <w:sz w:val="24"/>
                <w:szCs w:val="24"/>
                <w:lang w:eastAsia="en-GB"/>
              </w:rPr>
              <w:t xml:space="preserve">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TBC Bank Group plc</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Grainger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TI Fluid Systems</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Greggs</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Vivo Energy plc</w:t>
            </w: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proofErr w:type="spellStart"/>
            <w:r w:rsidRPr="00912CAD">
              <w:rPr>
                <w:rFonts w:ascii="Calibri" w:eastAsia="Times New Roman" w:hAnsi="Calibri" w:cs="Calibri"/>
                <w:color w:val="000000"/>
                <w:sz w:val="24"/>
                <w:szCs w:val="24"/>
                <w:lang w:eastAsia="en-GB"/>
              </w:rPr>
              <w:t>Hochschild</w:t>
            </w:r>
            <w:proofErr w:type="spellEnd"/>
            <w:r w:rsidRPr="00912CAD">
              <w:rPr>
                <w:rFonts w:ascii="Calibri" w:eastAsia="Times New Roman" w:hAnsi="Calibri" w:cs="Calibri"/>
                <w:color w:val="000000"/>
                <w:sz w:val="24"/>
                <w:szCs w:val="24"/>
                <w:lang w:eastAsia="en-GB"/>
              </w:rPr>
              <w:t xml:space="preserve"> Mining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
        </w:tc>
      </w:tr>
      <w:tr w:rsidR="00912CAD" w:rsidRPr="00912CAD" w:rsidTr="00912CAD">
        <w:trPr>
          <w:trHeight w:val="315"/>
        </w:trPr>
        <w:tc>
          <w:tcPr>
            <w:tcW w:w="3400" w:type="dxa"/>
            <w:shd w:val="clear" w:color="auto" w:fill="auto"/>
            <w:noWrap/>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Investec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
        </w:tc>
      </w:tr>
      <w:tr w:rsidR="00912CAD" w:rsidRPr="00912CAD" w:rsidTr="00912CAD">
        <w:trPr>
          <w:trHeight w:val="315"/>
        </w:trPr>
        <w:tc>
          <w:tcPr>
            <w:tcW w:w="3400" w:type="dxa"/>
            <w:shd w:val="clear" w:color="auto" w:fill="auto"/>
            <w:noWrap/>
            <w:vAlign w:val="bottom"/>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lastRenderedPageBreak/>
              <w:t>IWG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
        </w:tc>
      </w:tr>
      <w:tr w:rsidR="00912CAD" w:rsidRPr="00912CAD" w:rsidTr="00912CAD">
        <w:trPr>
          <w:trHeight w:val="315"/>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Legal &amp; General Group</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
        </w:tc>
      </w:tr>
      <w:tr w:rsidR="00912CAD" w:rsidRPr="00912CAD" w:rsidTr="00912CAD">
        <w:trPr>
          <w:trHeight w:val="315"/>
        </w:trPr>
        <w:tc>
          <w:tcPr>
            <w:tcW w:w="3400" w:type="dxa"/>
            <w:shd w:val="clear" w:color="auto" w:fill="auto"/>
            <w:vAlign w:val="bottom"/>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Mitchells &amp; Butlers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
        </w:tc>
      </w:tr>
      <w:tr w:rsidR="00912CAD" w:rsidRPr="00912CAD" w:rsidTr="00912CAD">
        <w:trPr>
          <w:trHeight w:val="630"/>
        </w:trPr>
        <w:tc>
          <w:tcPr>
            <w:tcW w:w="3400" w:type="dxa"/>
            <w:shd w:val="clear" w:color="auto" w:fill="auto"/>
            <w:hideMark/>
          </w:tcPr>
          <w:p w:rsidR="00912CAD" w:rsidRPr="00912CAD" w:rsidRDefault="00912CAD" w:rsidP="00912CAD">
            <w:pPr>
              <w:spacing w:after="0" w:line="240" w:lineRule="auto"/>
              <w:rPr>
                <w:rFonts w:ascii="Calibri" w:eastAsia="Times New Roman" w:hAnsi="Calibri" w:cs="Calibri"/>
                <w:color w:val="000000"/>
                <w:sz w:val="24"/>
                <w:szCs w:val="24"/>
                <w:lang w:eastAsia="en-GB"/>
              </w:rPr>
            </w:pPr>
            <w:r w:rsidRPr="00912CAD">
              <w:rPr>
                <w:rFonts w:ascii="Calibri" w:eastAsia="Times New Roman" w:hAnsi="Calibri" w:cs="Calibri"/>
                <w:color w:val="000000"/>
                <w:sz w:val="24"/>
                <w:szCs w:val="24"/>
                <w:lang w:eastAsia="en-GB"/>
              </w:rPr>
              <w:t>Network International Holdings plc</w:t>
            </w:r>
          </w:p>
        </w:tc>
        <w:tc>
          <w:tcPr>
            <w:tcW w:w="3400" w:type="dxa"/>
          </w:tcPr>
          <w:p w:rsidR="00912CAD" w:rsidRPr="00912CAD" w:rsidRDefault="00912CAD" w:rsidP="00912CAD">
            <w:pPr>
              <w:spacing w:after="0" w:line="240" w:lineRule="auto"/>
              <w:rPr>
                <w:rFonts w:ascii="Calibri" w:eastAsia="Times New Roman" w:hAnsi="Calibri" w:cs="Calibri"/>
                <w:color w:val="000000"/>
                <w:sz w:val="24"/>
                <w:szCs w:val="24"/>
                <w:lang w:eastAsia="en-GB"/>
              </w:rPr>
            </w:pPr>
          </w:p>
        </w:tc>
      </w:tr>
    </w:tbl>
    <w:p w:rsidR="00912CAD" w:rsidRDefault="00912CAD" w:rsidP="009F6EDE">
      <w:pPr>
        <w:spacing w:after="0" w:line="240" w:lineRule="auto"/>
        <w:rPr>
          <w:rFonts w:eastAsia="Times New Roman" w:cs="Arial"/>
          <w:lang w:val="en" w:eastAsia="en-GB"/>
        </w:rPr>
      </w:pPr>
    </w:p>
    <w:p w:rsidR="00924314" w:rsidRDefault="00924314" w:rsidP="009F6EDE">
      <w:pPr>
        <w:spacing w:after="0" w:line="240" w:lineRule="auto"/>
        <w:rPr>
          <w:rFonts w:eastAsia="Times New Roman" w:cs="Arial"/>
          <w:lang w:val="en" w:eastAsia="en-GB"/>
        </w:rPr>
      </w:pPr>
      <w:r>
        <w:rPr>
          <w:rFonts w:eastAsia="Times New Roman" w:cs="Arial"/>
          <w:lang w:val="en" w:eastAsia="en-GB"/>
        </w:rPr>
        <w:t xml:space="preserve">There are multiple reasons why a company may not be in compliance. Rathbones are happy to provide further details on request to any supporting member of the engagement. </w:t>
      </w:r>
    </w:p>
    <w:p w:rsidR="00924314" w:rsidRDefault="00924314" w:rsidP="009F6EDE">
      <w:pPr>
        <w:spacing w:after="0" w:line="240" w:lineRule="auto"/>
        <w:rPr>
          <w:rFonts w:eastAsia="Times New Roman" w:cs="Arial"/>
          <w:lang w:val="en" w:eastAsia="en-GB"/>
        </w:rPr>
      </w:pPr>
    </w:p>
    <w:p w:rsidR="00924314" w:rsidRDefault="00924314" w:rsidP="009F6EDE">
      <w:pPr>
        <w:spacing w:after="0" w:line="240" w:lineRule="auto"/>
        <w:rPr>
          <w:rFonts w:eastAsia="Times New Roman" w:cs="Arial"/>
          <w:lang w:val="en" w:eastAsia="en-GB"/>
        </w:rPr>
      </w:pPr>
      <w:r>
        <w:rPr>
          <w:rFonts w:eastAsia="Times New Roman" w:cs="Arial"/>
          <w:lang w:val="en" w:eastAsia="en-GB"/>
        </w:rPr>
        <w:t>We encourage members to support the engagement even if they do not have exposure to all the companies listed above. We consider the investor voice demanding compliance in this area to be powerful, and th</w:t>
      </w:r>
      <w:r w:rsidR="00C65507">
        <w:rPr>
          <w:rFonts w:eastAsia="Times New Roman" w:cs="Arial"/>
          <w:lang w:val="en" w:eastAsia="en-GB"/>
        </w:rPr>
        <w:t>e letters are worded to</w:t>
      </w:r>
      <w:r>
        <w:rPr>
          <w:rFonts w:eastAsia="Times New Roman" w:cs="Arial"/>
          <w:lang w:val="en" w:eastAsia="en-GB"/>
        </w:rPr>
        <w:t xml:space="preserve"> accommodate both holders and wider stakeholders. </w:t>
      </w:r>
    </w:p>
    <w:p w:rsidR="00924314" w:rsidRDefault="00924314" w:rsidP="009F6EDE">
      <w:pPr>
        <w:spacing w:after="0" w:line="240" w:lineRule="auto"/>
        <w:rPr>
          <w:rFonts w:eastAsia="Times New Roman" w:cs="Arial"/>
          <w:lang w:val="en" w:eastAsia="en-GB"/>
        </w:rPr>
      </w:pPr>
    </w:p>
    <w:p w:rsidR="00924314" w:rsidRDefault="00924314" w:rsidP="009F6EDE">
      <w:pPr>
        <w:spacing w:after="0" w:line="240" w:lineRule="auto"/>
        <w:rPr>
          <w:rFonts w:eastAsia="Times New Roman" w:cs="Arial"/>
          <w:b/>
          <w:lang w:val="en" w:eastAsia="en-GB"/>
        </w:rPr>
      </w:pPr>
      <w:r>
        <w:rPr>
          <w:rFonts w:eastAsia="Times New Roman" w:cs="Arial"/>
          <w:b/>
          <w:lang w:val="en" w:eastAsia="en-GB"/>
        </w:rPr>
        <w:t>Timeline</w:t>
      </w:r>
    </w:p>
    <w:p w:rsidR="00924314" w:rsidRDefault="00924314" w:rsidP="009F6EDE">
      <w:pPr>
        <w:spacing w:after="0" w:line="240" w:lineRule="auto"/>
        <w:rPr>
          <w:rFonts w:eastAsia="Times New Roman" w:cs="Arial"/>
          <w:lang w:val="en" w:eastAsia="en-GB"/>
        </w:rPr>
      </w:pPr>
      <w:r>
        <w:rPr>
          <w:rFonts w:eastAsia="Times New Roman" w:cs="Arial"/>
          <w:lang w:val="en" w:eastAsia="en-GB"/>
        </w:rPr>
        <w:t>Members are asked to submit their support before March 1</w:t>
      </w:r>
      <w:r w:rsidRPr="00924314">
        <w:rPr>
          <w:rFonts w:eastAsia="Times New Roman" w:cs="Arial"/>
          <w:vertAlign w:val="superscript"/>
          <w:lang w:val="en" w:eastAsia="en-GB"/>
        </w:rPr>
        <w:t>st</w:t>
      </w:r>
      <w:r>
        <w:rPr>
          <w:rFonts w:eastAsia="Times New Roman" w:cs="Arial"/>
          <w:lang w:val="en" w:eastAsia="en-GB"/>
        </w:rPr>
        <w:t xml:space="preserve"> 2020. </w:t>
      </w:r>
    </w:p>
    <w:p w:rsidR="00924314" w:rsidRDefault="00924314" w:rsidP="009F6EDE">
      <w:pPr>
        <w:spacing w:after="0" w:line="240" w:lineRule="auto"/>
        <w:rPr>
          <w:rFonts w:eastAsia="Times New Roman" w:cs="Arial"/>
          <w:lang w:val="en" w:eastAsia="en-GB"/>
        </w:rPr>
      </w:pPr>
    </w:p>
    <w:p w:rsidR="00924314" w:rsidRDefault="00924314" w:rsidP="009F6EDE">
      <w:pPr>
        <w:spacing w:after="0" w:line="240" w:lineRule="auto"/>
        <w:rPr>
          <w:rFonts w:eastAsia="Times New Roman" w:cs="Arial"/>
          <w:lang w:val="en" w:eastAsia="en-GB"/>
        </w:rPr>
      </w:pPr>
      <w:r>
        <w:rPr>
          <w:rFonts w:eastAsia="Times New Roman" w:cs="Arial"/>
          <w:lang w:val="en" w:eastAsia="en-GB"/>
        </w:rPr>
        <w:t xml:space="preserve">Letters will be sent in the first week of March. </w:t>
      </w:r>
    </w:p>
    <w:p w:rsidR="00924314" w:rsidRDefault="00924314" w:rsidP="009F6EDE">
      <w:pPr>
        <w:spacing w:after="0" w:line="240" w:lineRule="auto"/>
        <w:rPr>
          <w:rFonts w:eastAsia="Times New Roman" w:cs="Arial"/>
          <w:lang w:val="en" w:eastAsia="en-GB"/>
        </w:rPr>
      </w:pPr>
    </w:p>
    <w:p w:rsidR="00924314" w:rsidRPr="00924314" w:rsidRDefault="00924314" w:rsidP="009F6EDE">
      <w:pPr>
        <w:spacing w:after="0" w:line="240" w:lineRule="auto"/>
        <w:rPr>
          <w:rFonts w:eastAsia="Times New Roman" w:cs="Arial"/>
          <w:lang w:val="en" w:eastAsia="en-GB"/>
        </w:rPr>
      </w:pPr>
      <w:r>
        <w:rPr>
          <w:rFonts w:eastAsia="Times New Roman" w:cs="Arial"/>
          <w:lang w:val="en" w:eastAsia="en-GB"/>
        </w:rPr>
        <w:t xml:space="preserve">We will review the effectiveness of the engagement in September 2020 by repeating the compliance survey. </w:t>
      </w:r>
    </w:p>
    <w:p w:rsidR="00175D26" w:rsidRPr="00175D26" w:rsidRDefault="00175D26" w:rsidP="00175D26">
      <w:pPr>
        <w:pStyle w:val="NormalWeb"/>
        <w:rPr>
          <w:rFonts w:asciiTheme="minorHAnsi" w:hAnsiTheme="minorHAnsi" w:cs="Arial"/>
          <w:sz w:val="22"/>
          <w:szCs w:val="22"/>
          <w:lang w:val="en"/>
        </w:rPr>
      </w:pPr>
      <w:r w:rsidRPr="00175D26">
        <w:rPr>
          <w:rStyle w:val="Strong"/>
          <w:rFonts w:asciiTheme="minorHAnsi" w:hAnsiTheme="minorHAnsi" w:cs="Arial"/>
          <w:sz w:val="22"/>
          <w:szCs w:val="22"/>
          <w:lang w:val="en"/>
        </w:rPr>
        <w:t>How to join</w:t>
      </w:r>
    </w:p>
    <w:p w:rsidR="00C65507" w:rsidRDefault="00175D26" w:rsidP="00175D26">
      <w:pPr>
        <w:pStyle w:val="NormalWeb"/>
        <w:rPr>
          <w:rFonts w:asciiTheme="minorHAnsi" w:hAnsiTheme="minorHAnsi" w:cs="Arial"/>
          <w:sz w:val="22"/>
          <w:szCs w:val="22"/>
          <w:lang w:val="en"/>
        </w:rPr>
      </w:pPr>
      <w:r w:rsidRPr="00175D26">
        <w:rPr>
          <w:rFonts w:asciiTheme="minorHAnsi" w:hAnsiTheme="minorHAnsi" w:cs="Arial"/>
          <w:sz w:val="22"/>
          <w:szCs w:val="22"/>
          <w:lang w:val="en"/>
        </w:rPr>
        <w:t xml:space="preserve">PRI signatories interested in joining the collaborative engagement should </w:t>
      </w:r>
      <w:r w:rsidR="00C65507">
        <w:rPr>
          <w:rFonts w:asciiTheme="minorHAnsi" w:hAnsiTheme="minorHAnsi" w:cs="Arial"/>
          <w:sz w:val="22"/>
          <w:szCs w:val="22"/>
          <w:lang w:val="en"/>
        </w:rPr>
        <w:t>send the following details to Archie Pearson (</w:t>
      </w:r>
      <w:hyperlink r:id="rId6" w:history="1">
        <w:r w:rsidR="00C65507" w:rsidRPr="000E1DE8">
          <w:rPr>
            <w:rStyle w:val="Hyperlink"/>
            <w:rFonts w:asciiTheme="minorHAnsi" w:hAnsiTheme="minorHAnsi" w:cs="Arial"/>
            <w:sz w:val="22"/>
            <w:szCs w:val="22"/>
            <w:lang w:val="en"/>
          </w:rPr>
          <w:t>Archie.Pearson@rathbones.com</w:t>
        </w:r>
      </w:hyperlink>
      <w:r w:rsidR="00C65507">
        <w:rPr>
          <w:rFonts w:asciiTheme="minorHAnsi" w:hAnsiTheme="minorHAnsi" w:cs="Arial"/>
          <w:sz w:val="22"/>
          <w:szCs w:val="22"/>
          <w:lang w:val="en"/>
        </w:rPr>
        <w:t>):</w:t>
      </w:r>
    </w:p>
    <w:p w:rsidR="00C65507" w:rsidRDefault="00C65507" w:rsidP="00C65507">
      <w:pPr>
        <w:pStyle w:val="NormalWeb"/>
        <w:numPr>
          <w:ilvl w:val="0"/>
          <w:numId w:val="2"/>
        </w:numPr>
        <w:rPr>
          <w:rFonts w:asciiTheme="minorHAnsi" w:hAnsiTheme="minorHAnsi" w:cs="Arial"/>
          <w:sz w:val="22"/>
          <w:szCs w:val="22"/>
          <w:lang w:val="en"/>
        </w:rPr>
      </w:pPr>
      <w:r>
        <w:rPr>
          <w:rFonts w:asciiTheme="minorHAnsi" w:hAnsiTheme="minorHAnsi" w:cs="Arial"/>
          <w:sz w:val="22"/>
          <w:szCs w:val="22"/>
          <w:lang w:val="en"/>
        </w:rPr>
        <w:t>Name of contact</w:t>
      </w:r>
    </w:p>
    <w:p w:rsidR="00C65507" w:rsidRDefault="00C65507" w:rsidP="00C65507">
      <w:pPr>
        <w:pStyle w:val="NormalWeb"/>
        <w:numPr>
          <w:ilvl w:val="0"/>
          <w:numId w:val="2"/>
        </w:numPr>
        <w:rPr>
          <w:rFonts w:asciiTheme="minorHAnsi" w:hAnsiTheme="minorHAnsi" w:cs="Arial"/>
          <w:sz w:val="22"/>
          <w:szCs w:val="22"/>
          <w:lang w:val="en"/>
        </w:rPr>
      </w:pPr>
      <w:r>
        <w:rPr>
          <w:rFonts w:asciiTheme="minorHAnsi" w:hAnsiTheme="minorHAnsi" w:cs="Arial"/>
          <w:sz w:val="22"/>
          <w:szCs w:val="22"/>
          <w:lang w:val="en"/>
        </w:rPr>
        <w:t>Name of company</w:t>
      </w:r>
    </w:p>
    <w:p w:rsidR="00C65507" w:rsidRDefault="00C65507" w:rsidP="00C65507">
      <w:pPr>
        <w:pStyle w:val="NormalWeb"/>
        <w:numPr>
          <w:ilvl w:val="0"/>
          <w:numId w:val="2"/>
        </w:numPr>
        <w:rPr>
          <w:rFonts w:asciiTheme="minorHAnsi" w:hAnsiTheme="minorHAnsi" w:cs="Arial"/>
          <w:sz w:val="22"/>
          <w:szCs w:val="22"/>
          <w:lang w:val="en"/>
        </w:rPr>
      </w:pPr>
      <w:r>
        <w:rPr>
          <w:rFonts w:asciiTheme="minorHAnsi" w:hAnsiTheme="minorHAnsi" w:cs="Arial"/>
          <w:sz w:val="22"/>
          <w:szCs w:val="22"/>
          <w:lang w:val="en"/>
        </w:rPr>
        <w:t>Company AUM (£)</w:t>
      </w:r>
    </w:p>
    <w:p w:rsidR="00535EC2" w:rsidRPr="00175D26" w:rsidRDefault="00535EC2" w:rsidP="00C65507">
      <w:pPr>
        <w:pStyle w:val="NormalWeb"/>
        <w:numPr>
          <w:ilvl w:val="0"/>
          <w:numId w:val="2"/>
        </w:numPr>
        <w:rPr>
          <w:rFonts w:asciiTheme="minorHAnsi" w:hAnsiTheme="minorHAnsi" w:cs="Arial"/>
          <w:sz w:val="22"/>
          <w:szCs w:val="22"/>
          <w:lang w:val="en"/>
        </w:rPr>
      </w:pPr>
      <w:r>
        <w:rPr>
          <w:rFonts w:asciiTheme="minorHAnsi" w:hAnsiTheme="minorHAnsi" w:cs="Arial"/>
          <w:sz w:val="22"/>
          <w:szCs w:val="22"/>
          <w:lang w:val="en"/>
        </w:rPr>
        <w:t>Company logo</w:t>
      </w:r>
    </w:p>
    <w:p w:rsidR="00EB4C41" w:rsidRPr="00175D26" w:rsidRDefault="00175D26" w:rsidP="00175D26">
      <w:pPr>
        <w:pStyle w:val="NormalWeb"/>
        <w:rPr>
          <w:rFonts w:asciiTheme="minorHAnsi" w:hAnsiTheme="minorHAnsi" w:cs="Arial"/>
          <w:sz w:val="22"/>
          <w:szCs w:val="22"/>
          <w:lang w:val="en"/>
        </w:rPr>
      </w:pPr>
      <w:r w:rsidRPr="00175D26">
        <w:rPr>
          <w:rFonts w:asciiTheme="minorHAnsi" w:hAnsiTheme="minorHAnsi" w:cs="Arial"/>
          <w:sz w:val="22"/>
          <w:szCs w:val="22"/>
          <w:lang w:val="en"/>
        </w:rPr>
        <w:t xml:space="preserve">For any questions about the engagement or the joining process, please contact Matt Crossman </w:t>
      </w:r>
      <w:r w:rsidR="00EB4C41">
        <w:rPr>
          <w:rFonts w:asciiTheme="minorHAnsi" w:hAnsiTheme="minorHAnsi" w:cs="Arial"/>
          <w:sz w:val="22"/>
          <w:szCs w:val="22"/>
          <w:lang w:val="en"/>
        </w:rPr>
        <w:t>(</w:t>
      </w:r>
      <w:hyperlink r:id="rId7" w:history="1">
        <w:r w:rsidR="00EB4C41" w:rsidRPr="006F2016">
          <w:rPr>
            <w:rStyle w:val="Hyperlink"/>
            <w:rFonts w:asciiTheme="minorHAnsi" w:hAnsiTheme="minorHAnsi" w:cs="Arial"/>
            <w:sz w:val="22"/>
            <w:szCs w:val="22"/>
            <w:lang w:val="en"/>
          </w:rPr>
          <w:t>Matt.Crossman@rathbones.com</w:t>
        </w:r>
      </w:hyperlink>
      <w:r w:rsidR="00EB4C41">
        <w:rPr>
          <w:rFonts w:asciiTheme="minorHAnsi" w:hAnsiTheme="minorHAnsi" w:cs="Arial"/>
          <w:sz w:val="22"/>
          <w:szCs w:val="22"/>
          <w:lang w:val="en"/>
        </w:rPr>
        <w:t>)</w:t>
      </w:r>
    </w:p>
    <w:p w:rsidR="00175D26" w:rsidRPr="00175D26" w:rsidRDefault="00175D26" w:rsidP="00175D26">
      <w:pPr>
        <w:spacing w:before="100" w:beforeAutospacing="1" w:after="100" w:afterAutospacing="1" w:line="240" w:lineRule="auto"/>
        <w:rPr>
          <w:rFonts w:eastAsia="Times New Roman" w:cs="Arial"/>
          <w:lang w:val="en" w:eastAsia="en-GB"/>
        </w:rPr>
      </w:pPr>
      <w:r w:rsidRPr="00175D26">
        <w:rPr>
          <w:rFonts w:eastAsia="Times New Roman" w:cs="Arial"/>
          <w:b/>
          <w:bCs/>
          <w:lang w:val="en" w:eastAsia="en-GB"/>
        </w:rPr>
        <w:t>Objectives of the engagement</w:t>
      </w:r>
    </w:p>
    <w:p w:rsidR="00175D26" w:rsidRPr="00175D26" w:rsidRDefault="00175D26" w:rsidP="00175D26">
      <w:pPr>
        <w:spacing w:before="100" w:beforeAutospacing="1" w:after="100" w:afterAutospacing="1" w:line="240" w:lineRule="auto"/>
        <w:rPr>
          <w:rFonts w:eastAsia="Times New Roman" w:cs="Arial"/>
          <w:lang w:val="en" w:eastAsia="en-GB"/>
        </w:rPr>
      </w:pPr>
      <w:r w:rsidRPr="00175D26">
        <w:rPr>
          <w:rFonts w:eastAsia="Times New Roman" w:cs="Arial"/>
          <w:lang w:val="en" w:eastAsia="en-GB"/>
        </w:rPr>
        <w:t>This engagement will seek to deliver compliance among the target list of FTSE 350 companies which have failed to meet the r</w:t>
      </w:r>
      <w:bookmarkStart w:id="0" w:name="_GoBack"/>
      <w:bookmarkEnd w:id="0"/>
      <w:r w:rsidRPr="00175D26">
        <w:rPr>
          <w:rFonts w:eastAsia="Times New Roman" w:cs="Arial"/>
          <w:lang w:val="en" w:eastAsia="en-GB"/>
        </w:rPr>
        <w:t>eporting requirements of Section</w:t>
      </w:r>
      <w:r w:rsidR="00BC3870">
        <w:rPr>
          <w:rFonts w:eastAsia="Times New Roman" w:cs="Arial"/>
          <w:lang w:val="en" w:eastAsia="en-GB"/>
        </w:rPr>
        <w:t xml:space="preserve"> 54 of the Modern Slavery Act. Rathbones will </w:t>
      </w:r>
      <w:r w:rsidR="00F413D7">
        <w:rPr>
          <w:rFonts w:eastAsia="Times New Roman" w:cs="Arial"/>
          <w:lang w:val="en" w:eastAsia="en-GB"/>
        </w:rPr>
        <w:t>carry out a second round of engagements with any remaining</w:t>
      </w:r>
      <w:r w:rsidR="00BC3870">
        <w:rPr>
          <w:rFonts w:eastAsia="Times New Roman" w:cs="Arial"/>
          <w:lang w:val="en" w:eastAsia="en-GB"/>
        </w:rPr>
        <w:t xml:space="preserve"> non-compliant companies and are considering attendance at an AGM</w:t>
      </w:r>
      <w:r w:rsidR="00055836">
        <w:rPr>
          <w:rFonts w:eastAsia="Times New Roman" w:cs="Arial"/>
          <w:lang w:val="en" w:eastAsia="en-GB"/>
        </w:rPr>
        <w:t xml:space="preserve"> of a non-compliant business</w:t>
      </w:r>
      <w:r w:rsidR="00BC3870">
        <w:rPr>
          <w:rFonts w:eastAsia="Times New Roman" w:cs="Arial"/>
          <w:lang w:val="en" w:eastAsia="en-GB"/>
        </w:rPr>
        <w:t xml:space="preserve"> to question management</w:t>
      </w:r>
      <w:r w:rsidR="00055836">
        <w:rPr>
          <w:rFonts w:eastAsia="Times New Roman" w:cs="Arial"/>
          <w:lang w:val="en" w:eastAsia="en-GB"/>
        </w:rPr>
        <w:t xml:space="preserve"> and raise the profile of this issue</w:t>
      </w:r>
      <w:r w:rsidR="00BC3870">
        <w:rPr>
          <w:rFonts w:eastAsia="Times New Roman" w:cs="Arial"/>
          <w:lang w:val="en" w:eastAsia="en-GB"/>
        </w:rPr>
        <w:t xml:space="preserve">. </w:t>
      </w:r>
    </w:p>
    <w:p w:rsidR="00150D59" w:rsidRDefault="00150D59"/>
    <w:sectPr w:rsidR="00150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36A58"/>
    <w:multiLevelType w:val="hybridMultilevel"/>
    <w:tmpl w:val="473A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A709B"/>
    <w:multiLevelType w:val="hybridMultilevel"/>
    <w:tmpl w:val="2F007AD2"/>
    <w:lvl w:ilvl="0" w:tplc="3566F15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DE"/>
    <w:rsid w:val="00030031"/>
    <w:rsid w:val="00055836"/>
    <w:rsid w:val="00096E34"/>
    <w:rsid w:val="00150D59"/>
    <w:rsid w:val="00175D26"/>
    <w:rsid w:val="00186303"/>
    <w:rsid w:val="004E56FD"/>
    <w:rsid w:val="00526B25"/>
    <w:rsid w:val="00535EC2"/>
    <w:rsid w:val="00544534"/>
    <w:rsid w:val="00884E2D"/>
    <w:rsid w:val="00912CAD"/>
    <w:rsid w:val="00924314"/>
    <w:rsid w:val="00973300"/>
    <w:rsid w:val="009F6EDE"/>
    <w:rsid w:val="00B54BDF"/>
    <w:rsid w:val="00BC3870"/>
    <w:rsid w:val="00C65507"/>
    <w:rsid w:val="00CF4F06"/>
    <w:rsid w:val="00E9431A"/>
    <w:rsid w:val="00EB4C41"/>
    <w:rsid w:val="00F413D7"/>
    <w:rsid w:val="00F46D8F"/>
    <w:rsid w:val="00FA1582"/>
    <w:rsid w:val="00FC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80E03-66D9-48C9-B853-E2B9105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DE"/>
    <w:rPr>
      <w:b w:val="0"/>
      <w:bCs w:val="0"/>
      <w:strike w:val="0"/>
      <w:dstrike w:val="0"/>
      <w:color w:val="0050A0"/>
      <w:u w:val="none"/>
      <w:effect w:val="none"/>
      <w:shd w:val="clear" w:color="auto" w:fill="auto"/>
    </w:rPr>
  </w:style>
  <w:style w:type="paragraph" w:styleId="NormalWeb">
    <w:name w:val="Normal (Web)"/>
    <w:basedOn w:val="Normal"/>
    <w:uiPriority w:val="99"/>
    <w:semiHidden/>
    <w:unhideWhenUsed/>
    <w:rsid w:val="009F6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ews-label9">
    <w:name w:val="views-label9"/>
    <w:basedOn w:val="DefaultParagraphFont"/>
    <w:rsid w:val="009F6EDE"/>
  </w:style>
  <w:style w:type="character" w:styleId="Strong">
    <w:name w:val="Strong"/>
    <w:basedOn w:val="DefaultParagraphFont"/>
    <w:uiPriority w:val="22"/>
    <w:qFormat/>
    <w:rsid w:val="00175D26"/>
    <w:rPr>
      <w:b/>
      <w:bCs/>
    </w:rPr>
  </w:style>
  <w:style w:type="paragraph" w:customStyle="1" w:styleId="Default">
    <w:name w:val="Default"/>
    <w:rsid w:val="00096E34"/>
    <w:pPr>
      <w:autoSpaceDE w:val="0"/>
      <w:autoSpaceDN w:val="0"/>
      <w:adjustRightInd w:val="0"/>
      <w:spacing w:after="0" w:line="240" w:lineRule="auto"/>
    </w:pPr>
    <w:rPr>
      <w:rFonts w:ascii="HelveticaNeueLT Std Lt" w:hAnsi="HelveticaNeueLT Std Lt" w:cs="HelveticaNeueLT Std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41445">
      <w:bodyDiv w:val="1"/>
      <w:marLeft w:val="0"/>
      <w:marRight w:val="0"/>
      <w:marTop w:val="0"/>
      <w:marBottom w:val="0"/>
      <w:divBdr>
        <w:top w:val="none" w:sz="0" w:space="0" w:color="auto"/>
        <w:left w:val="none" w:sz="0" w:space="0" w:color="auto"/>
        <w:bottom w:val="none" w:sz="0" w:space="0" w:color="auto"/>
        <w:right w:val="none" w:sz="0" w:space="0" w:color="auto"/>
      </w:divBdr>
      <w:divsChild>
        <w:div w:id="879320618">
          <w:marLeft w:val="0"/>
          <w:marRight w:val="0"/>
          <w:marTop w:val="0"/>
          <w:marBottom w:val="0"/>
          <w:divBdr>
            <w:top w:val="none" w:sz="0" w:space="0" w:color="auto"/>
            <w:left w:val="none" w:sz="0" w:space="0" w:color="auto"/>
            <w:bottom w:val="none" w:sz="0" w:space="0" w:color="auto"/>
            <w:right w:val="none" w:sz="0" w:space="0" w:color="auto"/>
          </w:divBdr>
          <w:divsChild>
            <w:div w:id="506332692">
              <w:marLeft w:val="0"/>
              <w:marRight w:val="0"/>
              <w:marTop w:val="300"/>
              <w:marBottom w:val="0"/>
              <w:divBdr>
                <w:top w:val="none" w:sz="0" w:space="0" w:color="auto"/>
                <w:left w:val="none" w:sz="0" w:space="0" w:color="auto"/>
                <w:bottom w:val="none" w:sz="0" w:space="0" w:color="auto"/>
                <w:right w:val="none" w:sz="0" w:space="0" w:color="auto"/>
              </w:divBdr>
              <w:divsChild>
                <w:div w:id="388307520">
                  <w:marLeft w:val="0"/>
                  <w:marRight w:val="0"/>
                  <w:marTop w:val="0"/>
                  <w:marBottom w:val="0"/>
                  <w:divBdr>
                    <w:top w:val="none" w:sz="0" w:space="0" w:color="auto"/>
                    <w:left w:val="none" w:sz="0" w:space="0" w:color="auto"/>
                    <w:bottom w:val="none" w:sz="0" w:space="0" w:color="auto"/>
                    <w:right w:val="none" w:sz="0" w:space="0" w:color="auto"/>
                  </w:divBdr>
                  <w:divsChild>
                    <w:div w:id="574555007">
                      <w:marLeft w:val="0"/>
                      <w:marRight w:val="0"/>
                      <w:marTop w:val="0"/>
                      <w:marBottom w:val="0"/>
                      <w:divBdr>
                        <w:top w:val="none" w:sz="0" w:space="0" w:color="auto"/>
                        <w:left w:val="none" w:sz="0" w:space="0" w:color="auto"/>
                        <w:bottom w:val="none" w:sz="0" w:space="0" w:color="auto"/>
                        <w:right w:val="none" w:sz="0" w:space="0" w:color="auto"/>
                      </w:divBdr>
                      <w:divsChild>
                        <w:div w:id="1106192345">
                          <w:marLeft w:val="0"/>
                          <w:marRight w:val="0"/>
                          <w:marTop w:val="0"/>
                          <w:marBottom w:val="0"/>
                          <w:divBdr>
                            <w:top w:val="none" w:sz="0" w:space="0" w:color="auto"/>
                            <w:left w:val="none" w:sz="0" w:space="0" w:color="auto"/>
                            <w:bottom w:val="none" w:sz="0" w:space="0" w:color="auto"/>
                            <w:right w:val="none" w:sz="0" w:space="0" w:color="auto"/>
                          </w:divBdr>
                          <w:divsChild>
                            <w:div w:id="983854563">
                              <w:marLeft w:val="0"/>
                              <w:marRight w:val="0"/>
                              <w:marTop w:val="0"/>
                              <w:marBottom w:val="0"/>
                              <w:divBdr>
                                <w:top w:val="none" w:sz="0" w:space="0" w:color="auto"/>
                                <w:left w:val="none" w:sz="0" w:space="0" w:color="auto"/>
                                <w:bottom w:val="none" w:sz="0" w:space="0" w:color="auto"/>
                                <w:right w:val="none" w:sz="0" w:space="0" w:color="auto"/>
                              </w:divBdr>
                            </w:div>
                          </w:divsChild>
                        </w:div>
                        <w:div w:id="10106144">
                          <w:marLeft w:val="0"/>
                          <w:marRight w:val="0"/>
                          <w:marTop w:val="0"/>
                          <w:marBottom w:val="0"/>
                          <w:divBdr>
                            <w:top w:val="none" w:sz="0" w:space="0" w:color="auto"/>
                            <w:left w:val="none" w:sz="0" w:space="0" w:color="auto"/>
                            <w:bottom w:val="none" w:sz="0" w:space="0" w:color="auto"/>
                            <w:right w:val="none" w:sz="0" w:space="0" w:color="auto"/>
                          </w:divBdr>
                          <w:divsChild>
                            <w:div w:id="9154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5856">
      <w:bodyDiv w:val="1"/>
      <w:marLeft w:val="0"/>
      <w:marRight w:val="0"/>
      <w:marTop w:val="0"/>
      <w:marBottom w:val="0"/>
      <w:divBdr>
        <w:top w:val="none" w:sz="0" w:space="0" w:color="auto"/>
        <w:left w:val="none" w:sz="0" w:space="0" w:color="auto"/>
        <w:bottom w:val="none" w:sz="0" w:space="0" w:color="auto"/>
        <w:right w:val="none" w:sz="0" w:space="0" w:color="auto"/>
      </w:divBdr>
      <w:divsChild>
        <w:div w:id="585924192">
          <w:marLeft w:val="0"/>
          <w:marRight w:val="0"/>
          <w:marTop w:val="0"/>
          <w:marBottom w:val="0"/>
          <w:divBdr>
            <w:top w:val="none" w:sz="0" w:space="0" w:color="auto"/>
            <w:left w:val="none" w:sz="0" w:space="0" w:color="auto"/>
            <w:bottom w:val="none" w:sz="0" w:space="0" w:color="auto"/>
            <w:right w:val="none" w:sz="0" w:space="0" w:color="auto"/>
          </w:divBdr>
          <w:divsChild>
            <w:div w:id="1490946516">
              <w:marLeft w:val="0"/>
              <w:marRight w:val="0"/>
              <w:marTop w:val="300"/>
              <w:marBottom w:val="0"/>
              <w:divBdr>
                <w:top w:val="none" w:sz="0" w:space="0" w:color="auto"/>
                <w:left w:val="none" w:sz="0" w:space="0" w:color="auto"/>
                <w:bottom w:val="none" w:sz="0" w:space="0" w:color="auto"/>
                <w:right w:val="none" w:sz="0" w:space="0" w:color="auto"/>
              </w:divBdr>
              <w:divsChild>
                <w:div w:id="1792824518">
                  <w:marLeft w:val="0"/>
                  <w:marRight w:val="0"/>
                  <w:marTop w:val="0"/>
                  <w:marBottom w:val="0"/>
                  <w:divBdr>
                    <w:top w:val="none" w:sz="0" w:space="0" w:color="auto"/>
                    <w:left w:val="none" w:sz="0" w:space="0" w:color="auto"/>
                    <w:bottom w:val="none" w:sz="0" w:space="0" w:color="auto"/>
                    <w:right w:val="none" w:sz="0" w:space="0" w:color="auto"/>
                  </w:divBdr>
                  <w:divsChild>
                    <w:div w:id="876965538">
                      <w:marLeft w:val="0"/>
                      <w:marRight w:val="0"/>
                      <w:marTop w:val="0"/>
                      <w:marBottom w:val="0"/>
                      <w:divBdr>
                        <w:top w:val="none" w:sz="0" w:space="0" w:color="auto"/>
                        <w:left w:val="none" w:sz="0" w:space="0" w:color="auto"/>
                        <w:bottom w:val="none" w:sz="0" w:space="0" w:color="auto"/>
                        <w:right w:val="none" w:sz="0" w:space="0" w:color="auto"/>
                      </w:divBdr>
                      <w:divsChild>
                        <w:div w:id="795950603">
                          <w:marLeft w:val="0"/>
                          <w:marRight w:val="0"/>
                          <w:marTop w:val="0"/>
                          <w:marBottom w:val="0"/>
                          <w:divBdr>
                            <w:top w:val="none" w:sz="0" w:space="0" w:color="auto"/>
                            <w:left w:val="none" w:sz="0" w:space="0" w:color="auto"/>
                            <w:bottom w:val="none" w:sz="0" w:space="0" w:color="auto"/>
                            <w:right w:val="none" w:sz="0" w:space="0" w:color="auto"/>
                          </w:divBdr>
                          <w:divsChild>
                            <w:div w:id="205026837">
                              <w:marLeft w:val="0"/>
                              <w:marRight w:val="0"/>
                              <w:marTop w:val="0"/>
                              <w:marBottom w:val="0"/>
                              <w:divBdr>
                                <w:top w:val="none" w:sz="0" w:space="0" w:color="auto"/>
                                <w:left w:val="none" w:sz="0" w:space="0" w:color="auto"/>
                                <w:bottom w:val="none" w:sz="0" w:space="0" w:color="auto"/>
                                <w:right w:val="none" w:sz="0" w:space="0" w:color="auto"/>
                              </w:divBdr>
                              <w:divsChild>
                                <w:div w:id="20198293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Child>
        </w:div>
      </w:divsChild>
    </w:div>
    <w:div w:id="1680307732">
      <w:bodyDiv w:val="1"/>
      <w:marLeft w:val="0"/>
      <w:marRight w:val="0"/>
      <w:marTop w:val="0"/>
      <w:marBottom w:val="0"/>
      <w:divBdr>
        <w:top w:val="none" w:sz="0" w:space="0" w:color="auto"/>
        <w:left w:val="none" w:sz="0" w:space="0" w:color="auto"/>
        <w:bottom w:val="none" w:sz="0" w:space="0" w:color="auto"/>
        <w:right w:val="none" w:sz="0" w:space="0" w:color="auto"/>
      </w:divBdr>
    </w:div>
    <w:div w:id="1938293981">
      <w:bodyDiv w:val="1"/>
      <w:marLeft w:val="0"/>
      <w:marRight w:val="0"/>
      <w:marTop w:val="0"/>
      <w:marBottom w:val="0"/>
      <w:divBdr>
        <w:top w:val="none" w:sz="0" w:space="0" w:color="auto"/>
        <w:left w:val="none" w:sz="0" w:space="0" w:color="auto"/>
        <w:bottom w:val="none" w:sz="0" w:space="0" w:color="auto"/>
        <w:right w:val="none" w:sz="0" w:space="0" w:color="auto"/>
      </w:divBdr>
      <w:divsChild>
        <w:div w:id="464354339">
          <w:marLeft w:val="0"/>
          <w:marRight w:val="0"/>
          <w:marTop w:val="0"/>
          <w:marBottom w:val="0"/>
          <w:divBdr>
            <w:top w:val="none" w:sz="0" w:space="0" w:color="auto"/>
            <w:left w:val="none" w:sz="0" w:space="0" w:color="auto"/>
            <w:bottom w:val="none" w:sz="0" w:space="0" w:color="auto"/>
            <w:right w:val="none" w:sz="0" w:space="0" w:color="auto"/>
          </w:divBdr>
          <w:divsChild>
            <w:div w:id="2085952334">
              <w:marLeft w:val="0"/>
              <w:marRight w:val="0"/>
              <w:marTop w:val="300"/>
              <w:marBottom w:val="0"/>
              <w:divBdr>
                <w:top w:val="none" w:sz="0" w:space="0" w:color="auto"/>
                <w:left w:val="none" w:sz="0" w:space="0" w:color="auto"/>
                <w:bottom w:val="none" w:sz="0" w:space="0" w:color="auto"/>
                <w:right w:val="none" w:sz="0" w:space="0" w:color="auto"/>
              </w:divBdr>
              <w:divsChild>
                <w:div w:id="626930615">
                  <w:marLeft w:val="0"/>
                  <w:marRight w:val="0"/>
                  <w:marTop w:val="0"/>
                  <w:marBottom w:val="0"/>
                  <w:divBdr>
                    <w:top w:val="none" w:sz="0" w:space="0" w:color="auto"/>
                    <w:left w:val="none" w:sz="0" w:space="0" w:color="auto"/>
                    <w:bottom w:val="none" w:sz="0" w:space="0" w:color="auto"/>
                    <w:right w:val="none" w:sz="0" w:space="0" w:color="auto"/>
                  </w:divBdr>
                  <w:divsChild>
                    <w:div w:id="429665758">
                      <w:marLeft w:val="0"/>
                      <w:marRight w:val="0"/>
                      <w:marTop w:val="0"/>
                      <w:marBottom w:val="0"/>
                      <w:divBdr>
                        <w:top w:val="none" w:sz="0" w:space="0" w:color="auto"/>
                        <w:left w:val="none" w:sz="0" w:space="0" w:color="auto"/>
                        <w:bottom w:val="none" w:sz="0" w:space="0" w:color="auto"/>
                        <w:right w:val="none" w:sz="0" w:space="0" w:color="auto"/>
                      </w:divBdr>
                      <w:divsChild>
                        <w:div w:id="2007971314">
                          <w:marLeft w:val="0"/>
                          <w:marRight w:val="0"/>
                          <w:marTop w:val="0"/>
                          <w:marBottom w:val="0"/>
                          <w:divBdr>
                            <w:top w:val="none" w:sz="0" w:space="0" w:color="auto"/>
                            <w:left w:val="none" w:sz="0" w:space="0" w:color="auto"/>
                            <w:bottom w:val="none" w:sz="0" w:space="0" w:color="auto"/>
                            <w:right w:val="none" w:sz="0" w:space="0" w:color="auto"/>
                          </w:divBdr>
                          <w:divsChild>
                            <w:div w:id="13325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Crossman@rathbo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ie.Pearson@rathbones.com" TargetMode="External"/><Relationship Id="rId5" Type="http://schemas.openxmlformats.org/officeDocument/2006/relationships/hyperlink" Target="https://collaborate.unpri.org/system/files/2019-11/pri_investor_expectations_statement_on_climate_change_for_airlines_and_aerospace_companies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986494D7</Template>
  <TotalTime>6</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Rathbone Brothers plc</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Pearson</dc:creator>
  <cp:keywords/>
  <dc:description/>
  <cp:lastModifiedBy>Archie Pearson</cp:lastModifiedBy>
  <cp:revision>5</cp:revision>
  <dcterms:created xsi:type="dcterms:W3CDTF">2020-02-11T11:16:00Z</dcterms:created>
  <dcterms:modified xsi:type="dcterms:W3CDTF">2020-02-11T11:22:00Z</dcterms:modified>
</cp:coreProperties>
</file>