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6EC0" w14:textId="77777777" w:rsidR="007157A6" w:rsidRPr="007157A6" w:rsidRDefault="007157A6" w:rsidP="007157A6">
      <w:pPr>
        <w:pBdr>
          <w:bottom w:val="single" w:sz="4" w:space="1" w:color="auto"/>
        </w:pBdr>
        <w:rPr>
          <w:sz w:val="28"/>
          <w:lang w:val="en-GB"/>
        </w:rPr>
      </w:pPr>
      <w:bookmarkStart w:id="0" w:name="_GoBack"/>
      <w:bookmarkEnd w:id="0"/>
      <w:r w:rsidRPr="007157A6">
        <w:rPr>
          <w:b/>
          <w:sz w:val="28"/>
          <w:lang w:val="en-GB"/>
        </w:rPr>
        <w:t>Your Data</w:t>
      </w:r>
    </w:p>
    <w:p w14:paraId="352F9969" w14:textId="77777777" w:rsidR="007157A6" w:rsidRPr="007157A6" w:rsidRDefault="007157A6" w:rsidP="007157A6">
      <w:pPr>
        <w:numPr>
          <w:ilvl w:val="0"/>
          <w:numId w:val="11"/>
        </w:numPr>
        <w:contextualSpacing/>
        <w:rPr>
          <w:lang w:val="en-GB"/>
        </w:rPr>
        <w:sectPr w:rsidR="007157A6" w:rsidRPr="007157A6" w:rsidSect="00C850ED">
          <w:footerReference w:type="default" r:id="rId10"/>
          <w:pgSz w:w="16838" w:h="11906" w:orient="landscape"/>
          <w:pgMar w:top="1417" w:right="1417" w:bottom="1417" w:left="1134" w:header="708" w:footer="708" w:gutter="0"/>
          <w:cols w:space="708"/>
          <w:docGrid w:linePitch="360"/>
        </w:sectPr>
      </w:pPr>
    </w:p>
    <w:p w14:paraId="7E1D2CEE" w14:textId="77777777" w:rsidR="007157A6" w:rsidRPr="007157A6" w:rsidRDefault="007157A6" w:rsidP="007157A6">
      <w:pPr>
        <w:numPr>
          <w:ilvl w:val="0"/>
          <w:numId w:val="11"/>
        </w:numPr>
        <w:contextualSpacing/>
        <w:rPr>
          <w:lang w:val="en-GB"/>
        </w:rPr>
      </w:pPr>
      <w:r w:rsidRPr="007157A6">
        <w:rPr>
          <w:lang w:val="en-GB"/>
        </w:rPr>
        <w:t>Name</w:t>
      </w:r>
    </w:p>
    <w:p w14:paraId="405193DB" w14:textId="77777777" w:rsidR="007157A6" w:rsidRPr="007157A6" w:rsidRDefault="007157A6" w:rsidP="007157A6">
      <w:pPr>
        <w:numPr>
          <w:ilvl w:val="0"/>
          <w:numId w:val="11"/>
        </w:numPr>
        <w:contextualSpacing/>
        <w:rPr>
          <w:lang w:val="en-GB"/>
        </w:rPr>
      </w:pPr>
      <w:r w:rsidRPr="007157A6">
        <w:rPr>
          <w:lang w:val="en-GB"/>
        </w:rPr>
        <w:t>Answering as private citizen or representing an institution?</w:t>
      </w:r>
    </w:p>
    <w:p w14:paraId="14A219E5" w14:textId="77777777" w:rsidR="007157A6" w:rsidRPr="007157A6" w:rsidRDefault="007157A6" w:rsidP="007157A6">
      <w:pPr>
        <w:numPr>
          <w:ilvl w:val="0"/>
          <w:numId w:val="11"/>
        </w:numPr>
        <w:contextualSpacing/>
        <w:rPr>
          <w:lang w:val="en-GB"/>
        </w:rPr>
      </w:pPr>
      <w:r w:rsidRPr="007157A6">
        <w:rPr>
          <w:lang w:val="en-GB"/>
        </w:rPr>
        <w:t>When representing an institution:</w:t>
      </w:r>
    </w:p>
    <w:p w14:paraId="29C817CC" w14:textId="77777777" w:rsidR="007157A6" w:rsidRPr="007157A6" w:rsidRDefault="007157A6" w:rsidP="007157A6">
      <w:pPr>
        <w:numPr>
          <w:ilvl w:val="1"/>
          <w:numId w:val="1"/>
        </w:numPr>
        <w:contextualSpacing/>
        <w:rPr>
          <w:lang w:val="en-GB"/>
        </w:rPr>
      </w:pPr>
      <w:r w:rsidRPr="007157A6">
        <w:rPr>
          <w:lang w:val="en-GB"/>
        </w:rPr>
        <w:t>Which institution are you representing?</w:t>
      </w:r>
    </w:p>
    <w:p w14:paraId="7C45AA06" w14:textId="77777777" w:rsidR="007157A6" w:rsidRPr="007157A6" w:rsidRDefault="007157A6" w:rsidP="007157A6">
      <w:pPr>
        <w:numPr>
          <w:ilvl w:val="2"/>
          <w:numId w:val="1"/>
        </w:numPr>
        <w:contextualSpacing/>
        <w:rPr>
          <w:lang w:val="en-GB"/>
        </w:rPr>
      </w:pPr>
      <w:r w:rsidRPr="007157A6">
        <w:rPr>
          <w:lang w:val="en-GB"/>
        </w:rPr>
        <w:t>_________________</w:t>
      </w:r>
    </w:p>
    <w:p w14:paraId="17989BDF" w14:textId="77777777" w:rsidR="007157A6" w:rsidRPr="007157A6" w:rsidRDefault="007157A6" w:rsidP="007157A6">
      <w:pPr>
        <w:numPr>
          <w:ilvl w:val="1"/>
          <w:numId w:val="1"/>
        </w:numPr>
        <w:contextualSpacing/>
        <w:rPr>
          <w:lang w:val="en-GB"/>
        </w:rPr>
      </w:pPr>
      <w:r w:rsidRPr="007157A6">
        <w:rPr>
          <w:lang w:val="en-GB"/>
        </w:rPr>
        <w:t>Association: Yes/no</w:t>
      </w:r>
    </w:p>
    <w:p w14:paraId="54A07EDF" w14:textId="77777777" w:rsidR="007157A6" w:rsidRPr="007157A6" w:rsidRDefault="007157A6" w:rsidP="007157A6">
      <w:pPr>
        <w:numPr>
          <w:ilvl w:val="1"/>
          <w:numId w:val="1"/>
        </w:numPr>
        <w:contextualSpacing/>
        <w:rPr>
          <w:lang w:val="en-GB"/>
        </w:rPr>
      </w:pPr>
      <w:r w:rsidRPr="007157A6">
        <w:rPr>
          <w:lang w:val="en-GB"/>
        </w:rPr>
        <w:t>Please attribute your institution:</w:t>
      </w:r>
    </w:p>
    <w:p w14:paraId="2C300814" w14:textId="77777777" w:rsidR="007157A6" w:rsidRPr="007157A6" w:rsidRDefault="007157A6" w:rsidP="007157A6">
      <w:pPr>
        <w:numPr>
          <w:ilvl w:val="2"/>
          <w:numId w:val="1"/>
        </w:numPr>
        <w:contextualSpacing/>
        <w:rPr>
          <w:lang w:val="en-GB"/>
        </w:rPr>
      </w:pPr>
      <w:r w:rsidRPr="007157A6">
        <w:rPr>
          <w:lang w:val="en-GB"/>
        </w:rPr>
        <w:t>Financial institution</w:t>
      </w:r>
    </w:p>
    <w:p w14:paraId="49B2C3A7" w14:textId="77777777" w:rsidR="007157A6" w:rsidRPr="007157A6" w:rsidRDefault="007157A6" w:rsidP="007157A6">
      <w:pPr>
        <w:numPr>
          <w:ilvl w:val="3"/>
          <w:numId w:val="1"/>
        </w:numPr>
        <w:contextualSpacing/>
        <w:rPr>
          <w:lang w:val="en-GB"/>
        </w:rPr>
      </w:pPr>
      <w:r w:rsidRPr="007157A6">
        <w:rPr>
          <w:lang w:val="en-GB"/>
        </w:rPr>
        <w:t xml:space="preserve">Private Bank </w:t>
      </w:r>
    </w:p>
    <w:p w14:paraId="6A08B615" w14:textId="77777777" w:rsidR="007157A6" w:rsidRPr="007157A6" w:rsidRDefault="007157A6" w:rsidP="007157A6">
      <w:pPr>
        <w:numPr>
          <w:ilvl w:val="3"/>
          <w:numId w:val="1"/>
        </w:numPr>
        <w:contextualSpacing/>
        <w:rPr>
          <w:lang w:val="en-GB"/>
        </w:rPr>
      </w:pPr>
      <w:r w:rsidRPr="007157A6">
        <w:rPr>
          <w:lang w:val="en-GB"/>
        </w:rPr>
        <w:t>Cooperative Bank</w:t>
      </w:r>
    </w:p>
    <w:p w14:paraId="6B3E2A5A" w14:textId="77777777" w:rsidR="007157A6" w:rsidRPr="007157A6" w:rsidRDefault="007157A6" w:rsidP="007157A6">
      <w:pPr>
        <w:numPr>
          <w:ilvl w:val="3"/>
          <w:numId w:val="1"/>
        </w:numPr>
        <w:contextualSpacing/>
        <w:rPr>
          <w:lang w:val="en-GB"/>
        </w:rPr>
      </w:pPr>
      <w:r w:rsidRPr="007157A6">
        <w:rPr>
          <w:lang w:val="en-GB"/>
        </w:rPr>
        <w:t xml:space="preserve">Regional Savings Bank </w:t>
      </w:r>
    </w:p>
    <w:p w14:paraId="4AEBC005" w14:textId="77777777" w:rsidR="007157A6" w:rsidRPr="007157A6" w:rsidRDefault="007157A6" w:rsidP="007157A6">
      <w:pPr>
        <w:numPr>
          <w:ilvl w:val="3"/>
          <w:numId w:val="1"/>
        </w:numPr>
        <w:contextualSpacing/>
        <w:rPr>
          <w:lang w:val="en-GB"/>
        </w:rPr>
      </w:pPr>
      <w:r w:rsidRPr="007157A6">
        <w:rPr>
          <w:lang w:val="en-GB"/>
        </w:rPr>
        <w:t>Mortgage Bank</w:t>
      </w:r>
    </w:p>
    <w:p w14:paraId="51326D70" w14:textId="77777777" w:rsidR="007157A6" w:rsidRPr="007157A6" w:rsidRDefault="007157A6" w:rsidP="007157A6">
      <w:pPr>
        <w:numPr>
          <w:ilvl w:val="3"/>
          <w:numId w:val="1"/>
        </w:numPr>
        <w:contextualSpacing/>
        <w:rPr>
          <w:lang w:val="en-GB"/>
        </w:rPr>
      </w:pPr>
      <w:r w:rsidRPr="007157A6">
        <w:rPr>
          <w:lang w:val="en-GB"/>
        </w:rPr>
        <w:t>Other public financial institute (e.g. business development bank)</w:t>
      </w:r>
    </w:p>
    <w:p w14:paraId="169D3190" w14:textId="77777777" w:rsidR="007157A6" w:rsidRPr="007157A6" w:rsidRDefault="007157A6" w:rsidP="007157A6">
      <w:pPr>
        <w:ind w:left="2520"/>
        <w:contextualSpacing/>
        <w:rPr>
          <w:lang w:val="en-GB"/>
        </w:rPr>
      </w:pPr>
    </w:p>
    <w:p w14:paraId="27832CEB" w14:textId="77777777" w:rsidR="007157A6" w:rsidRPr="007157A6" w:rsidRDefault="007157A6" w:rsidP="007157A6">
      <w:pPr>
        <w:numPr>
          <w:ilvl w:val="0"/>
          <w:numId w:val="28"/>
        </w:numPr>
        <w:contextualSpacing/>
        <w:rPr>
          <w:lang w:val="en-GB"/>
        </w:rPr>
      </w:pPr>
      <w:r w:rsidRPr="007157A6">
        <w:rPr>
          <w:lang w:val="en-GB"/>
        </w:rPr>
        <w:t>Asset Manager</w:t>
      </w:r>
    </w:p>
    <w:p w14:paraId="6E5EF169" w14:textId="77777777" w:rsidR="007157A6" w:rsidRPr="007157A6" w:rsidRDefault="007157A6" w:rsidP="007157A6">
      <w:pPr>
        <w:numPr>
          <w:ilvl w:val="2"/>
          <w:numId w:val="1"/>
        </w:numPr>
        <w:contextualSpacing/>
        <w:rPr>
          <w:lang w:val="en-GB"/>
        </w:rPr>
      </w:pPr>
      <w:r w:rsidRPr="007157A6">
        <w:rPr>
          <w:lang w:val="en-GB"/>
        </w:rPr>
        <w:t>I</w:t>
      </w:r>
      <w:r w:rsidR="00C850ED">
        <w:rPr>
          <w:lang w:val="en-GB"/>
        </w:rPr>
        <w:t>n</w:t>
      </w:r>
      <w:r w:rsidRPr="007157A6">
        <w:rPr>
          <w:lang w:val="en-GB"/>
        </w:rPr>
        <w:t xml:space="preserve">surance company </w:t>
      </w:r>
    </w:p>
    <w:p w14:paraId="4B603245" w14:textId="77777777" w:rsidR="007157A6" w:rsidRPr="007157A6" w:rsidRDefault="007157A6" w:rsidP="007157A6">
      <w:pPr>
        <w:numPr>
          <w:ilvl w:val="2"/>
          <w:numId w:val="1"/>
        </w:numPr>
        <w:contextualSpacing/>
        <w:rPr>
          <w:lang w:val="en-GB"/>
        </w:rPr>
      </w:pPr>
      <w:r w:rsidRPr="007157A6">
        <w:rPr>
          <w:lang w:val="en-GB"/>
        </w:rPr>
        <w:t xml:space="preserve">Other financial services </w:t>
      </w:r>
    </w:p>
    <w:p w14:paraId="447554E9" w14:textId="77777777" w:rsidR="007157A6" w:rsidRPr="007157A6" w:rsidRDefault="00C850ED" w:rsidP="007157A6">
      <w:pPr>
        <w:numPr>
          <w:ilvl w:val="2"/>
          <w:numId w:val="1"/>
        </w:numPr>
        <w:contextualSpacing/>
        <w:rPr>
          <w:lang w:val="en-GB"/>
        </w:rPr>
      </w:pPr>
      <w:r w:rsidRPr="007157A6">
        <w:rPr>
          <w:lang w:val="en-GB"/>
        </w:rPr>
        <w:t>Manufacturing</w:t>
      </w:r>
      <w:r w:rsidR="007157A6" w:rsidRPr="007157A6">
        <w:rPr>
          <w:lang w:val="en-GB"/>
        </w:rPr>
        <w:t xml:space="preserve"> Industry</w:t>
      </w:r>
    </w:p>
    <w:p w14:paraId="6447524C" w14:textId="77777777" w:rsidR="007157A6" w:rsidRPr="007157A6" w:rsidRDefault="007157A6" w:rsidP="007157A6">
      <w:pPr>
        <w:numPr>
          <w:ilvl w:val="2"/>
          <w:numId w:val="1"/>
        </w:numPr>
        <w:contextualSpacing/>
        <w:rPr>
          <w:lang w:val="en-GB"/>
        </w:rPr>
      </w:pPr>
      <w:r w:rsidRPr="007157A6">
        <w:rPr>
          <w:lang w:val="en-GB"/>
        </w:rPr>
        <w:t>Service Industry</w:t>
      </w:r>
    </w:p>
    <w:p w14:paraId="1F2D1DC8" w14:textId="77777777" w:rsidR="007157A6" w:rsidRPr="007157A6" w:rsidRDefault="007157A6" w:rsidP="007157A6">
      <w:pPr>
        <w:numPr>
          <w:ilvl w:val="2"/>
          <w:numId w:val="1"/>
        </w:numPr>
        <w:contextualSpacing/>
        <w:rPr>
          <w:lang w:val="en-GB"/>
        </w:rPr>
      </w:pPr>
      <w:r w:rsidRPr="007157A6">
        <w:rPr>
          <w:lang w:val="en-GB"/>
        </w:rPr>
        <w:t>Academia</w:t>
      </w:r>
    </w:p>
    <w:p w14:paraId="20DC31EA" w14:textId="77777777" w:rsidR="007157A6" w:rsidRPr="007157A6" w:rsidRDefault="007157A6" w:rsidP="007157A6">
      <w:pPr>
        <w:numPr>
          <w:ilvl w:val="2"/>
          <w:numId w:val="1"/>
        </w:numPr>
        <w:contextualSpacing/>
        <w:rPr>
          <w:lang w:val="en-GB"/>
        </w:rPr>
      </w:pPr>
      <w:r w:rsidRPr="007157A6">
        <w:rPr>
          <w:lang w:val="en-GB"/>
        </w:rPr>
        <w:t xml:space="preserve">Civil Society Organisation </w:t>
      </w:r>
    </w:p>
    <w:p w14:paraId="3A739096" w14:textId="77777777" w:rsidR="007157A6" w:rsidRPr="007157A6" w:rsidRDefault="007157A6" w:rsidP="007157A6">
      <w:pPr>
        <w:numPr>
          <w:ilvl w:val="2"/>
          <w:numId w:val="1"/>
        </w:numPr>
        <w:contextualSpacing/>
        <w:rPr>
          <w:lang w:val="en-GB"/>
        </w:rPr>
      </w:pPr>
      <w:r w:rsidRPr="007157A6">
        <w:rPr>
          <w:lang w:val="en-GB"/>
        </w:rPr>
        <w:t xml:space="preserve">Civil Service </w:t>
      </w:r>
    </w:p>
    <w:p w14:paraId="7E7E9544" w14:textId="77777777" w:rsidR="007157A6" w:rsidRPr="007157A6" w:rsidRDefault="007157A6" w:rsidP="007157A6">
      <w:pPr>
        <w:numPr>
          <w:ilvl w:val="2"/>
          <w:numId w:val="1"/>
        </w:numPr>
        <w:contextualSpacing/>
        <w:rPr>
          <w:lang w:val="en-GB"/>
        </w:rPr>
      </w:pPr>
      <w:r w:rsidRPr="007157A6">
        <w:rPr>
          <w:lang w:val="en-GB"/>
        </w:rPr>
        <w:t>Member of Parliament</w:t>
      </w:r>
    </w:p>
    <w:p w14:paraId="59315C8B" w14:textId="77777777" w:rsidR="007157A6" w:rsidRPr="007157A6" w:rsidRDefault="007157A6" w:rsidP="007157A6">
      <w:pPr>
        <w:numPr>
          <w:ilvl w:val="2"/>
          <w:numId w:val="1"/>
        </w:numPr>
        <w:contextualSpacing/>
        <w:rPr>
          <w:lang w:val="en-GB"/>
        </w:rPr>
      </w:pPr>
      <w:r w:rsidRPr="007157A6">
        <w:rPr>
          <w:lang w:val="en-GB"/>
        </w:rPr>
        <w:t xml:space="preserve">Other </w:t>
      </w:r>
    </w:p>
    <w:p w14:paraId="55B830AA" w14:textId="77777777" w:rsidR="007157A6" w:rsidRPr="007157A6" w:rsidRDefault="007157A6" w:rsidP="007157A6">
      <w:pPr>
        <w:numPr>
          <w:ilvl w:val="0"/>
          <w:numId w:val="12"/>
        </w:numPr>
        <w:contextualSpacing/>
        <w:rPr>
          <w:lang w:val="en-GB"/>
        </w:rPr>
      </w:pPr>
      <w:r w:rsidRPr="007157A6">
        <w:rPr>
          <w:lang w:val="en-GB"/>
        </w:rPr>
        <w:t>I consent to the processing of my data</w:t>
      </w:r>
    </w:p>
    <w:p w14:paraId="162FC061" w14:textId="77777777" w:rsidR="007157A6" w:rsidRPr="007157A6" w:rsidRDefault="007157A6" w:rsidP="007157A6">
      <w:pPr>
        <w:numPr>
          <w:ilvl w:val="0"/>
          <w:numId w:val="12"/>
        </w:numPr>
        <w:contextualSpacing/>
        <w:rPr>
          <w:lang w:val="en-GB"/>
        </w:rPr>
      </w:pPr>
      <w:r w:rsidRPr="007157A6">
        <w:rPr>
          <w:lang w:val="en-GB"/>
        </w:rPr>
        <w:t xml:space="preserve">I consent to being contacted </w:t>
      </w:r>
    </w:p>
    <w:p w14:paraId="40F3FBD1" w14:textId="77777777" w:rsidR="007157A6" w:rsidRPr="007157A6" w:rsidRDefault="007157A6" w:rsidP="007157A6">
      <w:pPr>
        <w:numPr>
          <w:ilvl w:val="0"/>
          <w:numId w:val="12"/>
        </w:numPr>
        <w:contextualSpacing/>
        <w:rPr>
          <w:lang w:val="en-GB"/>
        </w:rPr>
      </w:pPr>
      <w:r w:rsidRPr="007157A6">
        <w:rPr>
          <w:lang w:val="en-GB"/>
        </w:rPr>
        <w:t>E-Mail</w:t>
      </w:r>
    </w:p>
    <w:p w14:paraId="6B104BB4" w14:textId="77777777" w:rsidR="007157A6" w:rsidRPr="007157A6" w:rsidRDefault="007157A6" w:rsidP="007157A6">
      <w:pPr>
        <w:numPr>
          <w:ilvl w:val="0"/>
          <w:numId w:val="12"/>
        </w:numPr>
        <w:contextualSpacing/>
        <w:rPr>
          <w:lang w:val="en-GB"/>
        </w:rPr>
      </w:pPr>
      <w:r w:rsidRPr="007157A6">
        <w:rPr>
          <w:lang w:val="en-GB"/>
        </w:rPr>
        <w:t>Phone</w:t>
      </w:r>
    </w:p>
    <w:p w14:paraId="6B351CDE" w14:textId="77777777" w:rsidR="007157A6" w:rsidRPr="007157A6" w:rsidRDefault="007157A6" w:rsidP="007157A6">
      <w:pPr>
        <w:pBdr>
          <w:bottom w:val="single" w:sz="4" w:space="1" w:color="auto"/>
        </w:pBdr>
        <w:rPr>
          <w:b/>
          <w:sz w:val="28"/>
          <w:lang w:val="en-GB"/>
        </w:rPr>
        <w:sectPr w:rsidR="007157A6" w:rsidRPr="007157A6" w:rsidSect="00C850ED">
          <w:type w:val="continuous"/>
          <w:pgSz w:w="16838" w:h="11906" w:orient="landscape"/>
          <w:pgMar w:top="1417" w:right="1417" w:bottom="1417" w:left="1134" w:header="708" w:footer="708" w:gutter="0"/>
          <w:cols w:num="2" w:space="708"/>
          <w:docGrid w:linePitch="360"/>
        </w:sectPr>
      </w:pPr>
    </w:p>
    <w:p w14:paraId="6FA160D0" w14:textId="77777777" w:rsidR="007157A6" w:rsidRPr="007157A6" w:rsidRDefault="007157A6" w:rsidP="007157A6">
      <w:pPr>
        <w:pBdr>
          <w:bottom w:val="single" w:sz="4" w:space="1" w:color="auto"/>
        </w:pBdr>
        <w:rPr>
          <w:b/>
          <w:sz w:val="28"/>
          <w:lang w:val="en-GB"/>
        </w:rPr>
      </w:pPr>
      <w:r w:rsidRPr="007157A6">
        <w:rPr>
          <w:b/>
          <w:sz w:val="28"/>
          <w:lang w:val="en-GB"/>
        </w:rPr>
        <w:t>Starting questions</w:t>
      </w:r>
    </w:p>
    <w:p w14:paraId="1D0C089F" w14:textId="77777777" w:rsidR="007157A6" w:rsidRPr="007157A6" w:rsidRDefault="007157A6" w:rsidP="007157A6">
      <w:pPr>
        <w:numPr>
          <w:ilvl w:val="0"/>
          <w:numId w:val="1"/>
        </w:numPr>
        <w:contextualSpacing/>
        <w:rPr>
          <w:lang w:val="en-GB"/>
        </w:rPr>
      </w:pPr>
      <w:r w:rsidRPr="007157A6">
        <w:rPr>
          <w:lang w:val="en-GB"/>
        </w:rPr>
        <w:t>Do you consider the proposed approaches to action generally to be instrumental in making Germany a leading centre for sustainable finance?</w:t>
      </w:r>
    </w:p>
    <w:p w14:paraId="71B37561" w14:textId="77777777" w:rsidR="007157A6" w:rsidRPr="007157A6" w:rsidRDefault="007157A6" w:rsidP="007157A6">
      <w:pPr>
        <w:numPr>
          <w:ilvl w:val="1"/>
          <w:numId w:val="1"/>
        </w:numPr>
        <w:contextualSpacing/>
        <w:rPr>
          <w:lang w:val="en-GB"/>
        </w:rPr>
      </w:pPr>
      <w:r w:rsidRPr="007157A6">
        <w:rPr>
          <w:lang w:val="en-GB"/>
        </w:rPr>
        <w:t>Yes/No</w:t>
      </w:r>
    </w:p>
    <w:p w14:paraId="0CAAFE3B" w14:textId="77777777" w:rsidR="007157A6" w:rsidRPr="007157A6" w:rsidRDefault="007157A6" w:rsidP="007157A6">
      <w:pPr>
        <w:numPr>
          <w:ilvl w:val="1"/>
          <w:numId w:val="1"/>
        </w:numPr>
        <w:contextualSpacing/>
        <w:rPr>
          <w:lang w:val="en-GB"/>
        </w:rPr>
      </w:pPr>
      <w:r w:rsidRPr="007157A6">
        <w:rPr>
          <w:lang w:val="en-GB"/>
        </w:rPr>
        <w:t>If no: Please elaborate</w:t>
      </w:r>
    </w:p>
    <w:p w14:paraId="16E7D7CE" w14:textId="77777777" w:rsidR="007157A6" w:rsidRPr="007157A6" w:rsidRDefault="007157A6" w:rsidP="007157A6">
      <w:pPr>
        <w:ind w:left="1416"/>
        <w:contextualSpacing/>
        <w:rPr>
          <w:lang w:val="en-GB"/>
        </w:rPr>
      </w:pPr>
      <w:r w:rsidRPr="007157A6">
        <w:rPr>
          <w:noProof/>
          <w:lang w:eastAsia="de-DE"/>
        </w:rPr>
        <mc:AlternateContent>
          <mc:Choice Requires="wps">
            <w:drawing>
              <wp:anchor distT="0" distB="0" distL="114300" distR="114300" simplePos="0" relativeHeight="251659264" behindDoc="0" locked="0" layoutInCell="1" allowOverlap="1" wp14:anchorId="48AF1B8B" wp14:editId="00C06C2E">
                <wp:simplePos x="0" y="0"/>
                <wp:positionH relativeFrom="column">
                  <wp:posOffset>13335</wp:posOffset>
                </wp:positionH>
                <wp:positionV relativeFrom="paragraph">
                  <wp:posOffset>57150</wp:posOffset>
                </wp:positionV>
                <wp:extent cx="4460240" cy="254000"/>
                <wp:effectExtent l="0" t="0" r="1651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55C4A620" w14:textId="77777777" w:rsidR="00C850ED" w:rsidRDefault="00C850ED" w:rsidP="007157A6">
                            <w:r>
                              <w:t>Text</w:t>
                            </w:r>
                            <w:r w:rsidR="00396D4C">
                              <w:t xml:space="preserve"> Box </w:t>
                            </w:r>
                            <w:r>
                              <w:t xml:space="preserve">(max. 1500 </w:t>
                            </w:r>
                            <w:r w:rsidR="00396D4C">
                              <w:t>characters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57338" id="_x0000_t202" coordsize="21600,21600" o:spt="202" path="m,l,21600r21600,l21600,xe">
                <v:stroke joinstyle="miter"/>
                <v:path gradientshapeok="t" o:connecttype="rect"/>
              </v:shapetype>
              <v:shape id="Textfeld 2" o:spid="_x0000_s1026" type="#_x0000_t202" style="position:absolute;left:0;text-align:left;margin-left:1.05pt;margin-top:4.5pt;width:351.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">
                <v:textbox>
                  <w:txbxContent>
                    <w:p w:rsidR="00C850ED" w:rsidRDefault="00C850ED" w:rsidP="007157A6">
                      <w:r>
                        <w:t>Text</w:t>
                      </w:r>
                      <w:r w:rsidR="00396D4C">
                        <w:t xml:space="preserve"> Box </w:t>
                      </w:r>
                      <w:r>
                        <w:t xml:space="preserve">(max. 1500 </w:t>
                      </w:r>
                      <w:proofErr w:type="spellStart"/>
                      <w:r w:rsidR="00396D4C">
                        <w:t>characters</w:t>
                      </w:r>
                      <w:proofErr w:type="spellEnd"/>
                      <w:r>
                        <w:t>)</w:t>
                      </w:r>
                    </w:p>
                  </w:txbxContent>
                </v:textbox>
              </v:shape>
            </w:pict>
          </mc:Fallback>
        </mc:AlternateContent>
      </w:r>
    </w:p>
    <w:p w14:paraId="574EC06B" w14:textId="77777777" w:rsidR="007157A6" w:rsidRPr="007157A6" w:rsidRDefault="007157A6" w:rsidP="007157A6">
      <w:pPr>
        <w:ind w:left="1080"/>
        <w:contextualSpacing/>
        <w:rPr>
          <w:lang w:val="en-GB"/>
        </w:rPr>
      </w:pPr>
    </w:p>
    <w:p w14:paraId="0338A6C3" w14:textId="77777777" w:rsidR="007157A6" w:rsidRPr="007157A6" w:rsidRDefault="007157A6" w:rsidP="007157A6">
      <w:pPr>
        <w:ind w:left="1080"/>
        <w:contextualSpacing/>
        <w:rPr>
          <w:lang w:val="en-GB"/>
        </w:rPr>
      </w:pPr>
    </w:p>
    <w:p w14:paraId="2F622ACF" w14:textId="77777777" w:rsidR="007157A6" w:rsidRPr="007157A6" w:rsidRDefault="007157A6" w:rsidP="007157A6">
      <w:pPr>
        <w:numPr>
          <w:ilvl w:val="0"/>
          <w:numId w:val="1"/>
        </w:numPr>
        <w:contextualSpacing/>
        <w:rPr>
          <w:lang w:val="en-GB"/>
        </w:rPr>
      </w:pPr>
      <w:r w:rsidRPr="007157A6">
        <w:rPr>
          <w:lang w:val="en-GB"/>
        </w:rPr>
        <w:t>Which approach to action should the Federal Government prioritise? Why?</w:t>
      </w:r>
    </w:p>
    <w:p w14:paraId="641101DE" w14:textId="77777777" w:rsidR="007157A6" w:rsidRPr="007157A6" w:rsidRDefault="007157A6" w:rsidP="007157A6">
      <w:pPr>
        <w:rPr>
          <w:lang w:val="en-GB"/>
        </w:rPr>
      </w:pPr>
      <w:r w:rsidRPr="007157A6">
        <w:rPr>
          <w:noProof/>
          <w:lang w:eastAsia="de-DE"/>
        </w:rPr>
        <mc:AlternateContent>
          <mc:Choice Requires="wps">
            <w:drawing>
              <wp:anchor distT="0" distB="0" distL="114300" distR="114300" simplePos="0" relativeHeight="251663360" behindDoc="0" locked="0" layoutInCell="1" allowOverlap="1" wp14:anchorId="7102DB87" wp14:editId="15ACBA71">
                <wp:simplePos x="0" y="0"/>
                <wp:positionH relativeFrom="column">
                  <wp:posOffset>0</wp:posOffset>
                </wp:positionH>
                <wp:positionV relativeFrom="paragraph">
                  <wp:posOffset>-635</wp:posOffset>
                </wp:positionV>
                <wp:extent cx="4460626" cy="254442"/>
                <wp:effectExtent l="0" t="0" r="16510" b="1270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442"/>
                        </a:xfrm>
                        <a:prstGeom prst="rect">
                          <a:avLst/>
                        </a:prstGeom>
                        <a:solidFill>
                          <a:srgbClr val="FFFFFF"/>
                        </a:solidFill>
                        <a:ln w="9525">
                          <a:solidFill>
                            <a:srgbClr val="000000"/>
                          </a:solidFill>
                          <a:miter lim="800000"/>
                          <a:headEnd/>
                          <a:tailEnd/>
                        </a:ln>
                      </wps:spPr>
                      <wps:txbx>
                        <w:txbxContent>
                          <w:p w14:paraId="7169B1D6"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C8FA1" id="_x0000_s1027" type="#_x0000_t202" style="position:absolute;margin-left:0;margin-top:-.05pt;width:351.2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7B819B1B" w14:textId="77777777" w:rsidR="007157A6" w:rsidRPr="007157A6" w:rsidRDefault="007157A6" w:rsidP="007157A6">
      <w:pPr>
        <w:rPr>
          <w:b/>
          <w:sz w:val="28"/>
          <w:lang w:val="en-GB"/>
        </w:rPr>
      </w:pPr>
    </w:p>
    <w:p w14:paraId="36284582" w14:textId="77777777" w:rsidR="007157A6" w:rsidRPr="007157A6" w:rsidRDefault="007157A6" w:rsidP="00C850ED">
      <w:pPr>
        <w:pBdr>
          <w:bottom w:val="single" w:sz="4" w:space="1" w:color="auto"/>
        </w:pBdr>
        <w:rPr>
          <w:b/>
          <w:sz w:val="28"/>
          <w:lang w:val="en-GB"/>
        </w:rPr>
      </w:pPr>
      <w:r w:rsidRPr="007157A6">
        <w:rPr>
          <w:b/>
          <w:sz w:val="28"/>
          <w:lang w:val="en-GB"/>
        </w:rPr>
        <w:lastRenderedPageBreak/>
        <w:t>C</w:t>
      </w:r>
      <w:r w:rsidR="00C850ED">
        <w:rPr>
          <w:b/>
          <w:sz w:val="28"/>
          <w:lang w:val="en-GB"/>
        </w:rPr>
        <w:t>oherent Political Approach</w:t>
      </w:r>
    </w:p>
    <w:p w14:paraId="41FF58E1"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500"/>
        <w:gridCol w:w="3544"/>
        <w:gridCol w:w="446"/>
        <w:gridCol w:w="447"/>
        <w:gridCol w:w="446"/>
        <w:gridCol w:w="447"/>
        <w:gridCol w:w="447"/>
      </w:tblGrid>
      <w:tr w:rsidR="007157A6" w:rsidRPr="007157A6" w14:paraId="0139939C" w14:textId="77777777" w:rsidTr="00C850ED">
        <w:tc>
          <w:tcPr>
            <w:tcW w:w="8500" w:type="dxa"/>
            <w:shd w:val="clear" w:color="auto" w:fill="D9D9D9" w:themeFill="background1" w:themeFillShade="D9"/>
          </w:tcPr>
          <w:p w14:paraId="7C01829B"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60FC7077" w14:textId="77777777" w:rsidR="007157A6" w:rsidRPr="007157A6" w:rsidRDefault="007157A6" w:rsidP="007157A6">
            <w:pPr>
              <w:rPr>
                <w:b/>
                <w:lang w:val="en-GB"/>
              </w:rPr>
            </w:pPr>
            <w:r w:rsidRPr="007157A6">
              <w:rPr>
                <w:b/>
                <w:lang w:val="en-GB"/>
              </w:rPr>
              <w:t>Evaluation category</w:t>
            </w:r>
          </w:p>
        </w:tc>
        <w:tc>
          <w:tcPr>
            <w:tcW w:w="446" w:type="dxa"/>
            <w:shd w:val="clear" w:color="auto" w:fill="D9D9D9" w:themeFill="background1" w:themeFillShade="D9"/>
          </w:tcPr>
          <w:p w14:paraId="4F735E52" w14:textId="77777777" w:rsidR="007157A6" w:rsidRPr="007157A6" w:rsidRDefault="007157A6" w:rsidP="007157A6">
            <w:pPr>
              <w:rPr>
                <w:b/>
                <w:lang w:val="en-GB"/>
              </w:rPr>
            </w:pPr>
            <w:r w:rsidRPr="007157A6">
              <w:rPr>
                <w:b/>
                <w:lang w:val="en-GB"/>
              </w:rPr>
              <w:t>5</w:t>
            </w:r>
          </w:p>
        </w:tc>
        <w:tc>
          <w:tcPr>
            <w:tcW w:w="447" w:type="dxa"/>
            <w:shd w:val="clear" w:color="auto" w:fill="D9D9D9" w:themeFill="background1" w:themeFillShade="D9"/>
          </w:tcPr>
          <w:p w14:paraId="17F64882" w14:textId="77777777" w:rsidR="007157A6" w:rsidRPr="007157A6" w:rsidRDefault="007157A6" w:rsidP="007157A6">
            <w:pPr>
              <w:rPr>
                <w:b/>
                <w:lang w:val="en-GB"/>
              </w:rPr>
            </w:pPr>
            <w:r w:rsidRPr="007157A6">
              <w:rPr>
                <w:b/>
                <w:lang w:val="en-GB"/>
              </w:rPr>
              <w:t>4</w:t>
            </w:r>
          </w:p>
        </w:tc>
        <w:tc>
          <w:tcPr>
            <w:tcW w:w="446" w:type="dxa"/>
            <w:shd w:val="clear" w:color="auto" w:fill="D9D9D9" w:themeFill="background1" w:themeFillShade="D9"/>
          </w:tcPr>
          <w:p w14:paraId="5E485919" w14:textId="77777777" w:rsidR="007157A6" w:rsidRPr="007157A6" w:rsidRDefault="007157A6" w:rsidP="007157A6">
            <w:pPr>
              <w:rPr>
                <w:b/>
                <w:lang w:val="en-GB"/>
              </w:rPr>
            </w:pPr>
            <w:r w:rsidRPr="007157A6">
              <w:rPr>
                <w:b/>
                <w:lang w:val="en-GB"/>
              </w:rPr>
              <w:t>3</w:t>
            </w:r>
          </w:p>
        </w:tc>
        <w:tc>
          <w:tcPr>
            <w:tcW w:w="447" w:type="dxa"/>
            <w:shd w:val="clear" w:color="auto" w:fill="D9D9D9" w:themeFill="background1" w:themeFillShade="D9"/>
          </w:tcPr>
          <w:p w14:paraId="188F04ED" w14:textId="77777777" w:rsidR="007157A6" w:rsidRPr="007157A6" w:rsidRDefault="007157A6" w:rsidP="007157A6">
            <w:pPr>
              <w:rPr>
                <w:b/>
                <w:lang w:val="en-GB"/>
              </w:rPr>
            </w:pPr>
            <w:r w:rsidRPr="007157A6">
              <w:rPr>
                <w:b/>
                <w:lang w:val="en-GB"/>
              </w:rPr>
              <w:t>2</w:t>
            </w:r>
          </w:p>
        </w:tc>
        <w:tc>
          <w:tcPr>
            <w:tcW w:w="447" w:type="dxa"/>
            <w:shd w:val="clear" w:color="auto" w:fill="D9D9D9" w:themeFill="background1" w:themeFillShade="D9"/>
          </w:tcPr>
          <w:p w14:paraId="41BCC0B4" w14:textId="77777777" w:rsidR="007157A6" w:rsidRPr="007157A6" w:rsidRDefault="007157A6" w:rsidP="007157A6">
            <w:pPr>
              <w:rPr>
                <w:b/>
                <w:lang w:val="en-GB"/>
              </w:rPr>
            </w:pPr>
            <w:r w:rsidRPr="007157A6">
              <w:rPr>
                <w:b/>
                <w:lang w:val="en-GB"/>
              </w:rPr>
              <w:t>1</w:t>
            </w:r>
          </w:p>
        </w:tc>
      </w:tr>
      <w:tr w:rsidR="007157A6" w:rsidRPr="007157A6" w14:paraId="4644DB01" w14:textId="77777777" w:rsidTr="00C850ED">
        <w:tc>
          <w:tcPr>
            <w:tcW w:w="8500" w:type="dxa"/>
            <w:vMerge w:val="restart"/>
          </w:tcPr>
          <w:p w14:paraId="18E06F76" w14:textId="77777777" w:rsidR="007157A6" w:rsidRPr="007157A6" w:rsidRDefault="007157A6" w:rsidP="007157A6">
            <w:pPr>
              <w:pBdr>
                <w:top w:val="nil"/>
                <w:left w:val="nil"/>
                <w:bottom w:val="nil"/>
                <w:right w:val="nil"/>
                <w:between w:val="nil"/>
                <w:bar w:val="nil"/>
              </w:pBdr>
              <w:rPr>
                <w:rFonts w:ascii="Calibri" w:eastAsia="Calibri" w:hAnsi="Calibri" w:cs="Calibri"/>
                <w:lang w:val="en-GB"/>
              </w:rPr>
            </w:pPr>
            <w:r w:rsidRPr="007157A6">
              <w:rPr>
                <w:rFonts w:ascii="Calibri" w:hAnsi="Calibri"/>
                <w:lang w:val="en-GB"/>
              </w:rPr>
              <w:t>The German federal government understands sustainable finance as a central and overarching task for the entire financial sector. Political decisions are to be coherently aligned with the aforesaid goals across government agencies.</w:t>
            </w:r>
          </w:p>
          <w:p w14:paraId="7520C6A6" w14:textId="77777777" w:rsidR="007157A6" w:rsidRPr="007157A6" w:rsidRDefault="007157A6" w:rsidP="007157A6">
            <w:pPr>
              <w:rPr>
                <w:lang w:val="en-GB"/>
              </w:rPr>
            </w:pPr>
          </w:p>
        </w:tc>
        <w:tc>
          <w:tcPr>
            <w:tcW w:w="3544" w:type="dxa"/>
          </w:tcPr>
          <w:p w14:paraId="0571D046" w14:textId="77777777" w:rsidR="007157A6" w:rsidRPr="007157A6" w:rsidRDefault="007157A6" w:rsidP="007157A6">
            <w:pPr>
              <w:rPr>
                <w:lang w:val="en-GB"/>
              </w:rPr>
            </w:pPr>
            <w:r w:rsidRPr="007157A6">
              <w:rPr>
                <w:lang w:val="en-GB"/>
              </w:rPr>
              <w:t>Will foster Sustainable Finance in Germany</w:t>
            </w:r>
          </w:p>
        </w:tc>
        <w:tc>
          <w:tcPr>
            <w:tcW w:w="446" w:type="dxa"/>
          </w:tcPr>
          <w:p w14:paraId="7A4FAFF8" w14:textId="77777777" w:rsidR="007157A6" w:rsidRPr="007157A6" w:rsidRDefault="007157A6" w:rsidP="007157A6">
            <w:pPr>
              <w:rPr>
                <w:lang w:val="en-GB"/>
              </w:rPr>
            </w:pPr>
          </w:p>
        </w:tc>
        <w:tc>
          <w:tcPr>
            <w:tcW w:w="447" w:type="dxa"/>
          </w:tcPr>
          <w:p w14:paraId="5E1EB32E" w14:textId="77777777" w:rsidR="007157A6" w:rsidRPr="007157A6" w:rsidRDefault="007157A6" w:rsidP="007157A6">
            <w:pPr>
              <w:rPr>
                <w:lang w:val="en-GB"/>
              </w:rPr>
            </w:pPr>
          </w:p>
        </w:tc>
        <w:tc>
          <w:tcPr>
            <w:tcW w:w="446" w:type="dxa"/>
          </w:tcPr>
          <w:p w14:paraId="5ACCCFBD" w14:textId="77777777" w:rsidR="007157A6" w:rsidRPr="007157A6" w:rsidRDefault="007157A6" w:rsidP="007157A6">
            <w:pPr>
              <w:rPr>
                <w:lang w:val="en-GB"/>
              </w:rPr>
            </w:pPr>
          </w:p>
        </w:tc>
        <w:tc>
          <w:tcPr>
            <w:tcW w:w="447" w:type="dxa"/>
          </w:tcPr>
          <w:p w14:paraId="7E4A724D" w14:textId="77777777" w:rsidR="007157A6" w:rsidRPr="007157A6" w:rsidRDefault="007157A6" w:rsidP="007157A6">
            <w:pPr>
              <w:rPr>
                <w:lang w:val="en-GB"/>
              </w:rPr>
            </w:pPr>
          </w:p>
        </w:tc>
        <w:tc>
          <w:tcPr>
            <w:tcW w:w="447" w:type="dxa"/>
          </w:tcPr>
          <w:p w14:paraId="091002B7" w14:textId="77777777" w:rsidR="007157A6" w:rsidRPr="007157A6" w:rsidRDefault="007157A6" w:rsidP="007157A6">
            <w:pPr>
              <w:rPr>
                <w:lang w:val="en-GB"/>
              </w:rPr>
            </w:pPr>
          </w:p>
        </w:tc>
      </w:tr>
      <w:tr w:rsidR="007157A6" w:rsidRPr="007157A6" w14:paraId="7D8020AC" w14:textId="77777777" w:rsidTr="00C850ED">
        <w:tc>
          <w:tcPr>
            <w:tcW w:w="8500" w:type="dxa"/>
            <w:vMerge/>
          </w:tcPr>
          <w:p w14:paraId="5A929BDD" w14:textId="77777777" w:rsidR="007157A6" w:rsidRPr="007157A6" w:rsidRDefault="007157A6" w:rsidP="007157A6">
            <w:pPr>
              <w:rPr>
                <w:lang w:val="en-GB"/>
              </w:rPr>
            </w:pPr>
          </w:p>
        </w:tc>
        <w:tc>
          <w:tcPr>
            <w:tcW w:w="3544" w:type="dxa"/>
          </w:tcPr>
          <w:p w14:paraId="457259B5" w14:textId="77777777" w:rsidR="007157A6" w:rsidRPr="007157A6" w:rsidRDefault="007157A6" w:rsidP="007157A6">
            <w:pPr>
              <w:rPr>
                <w:lang w:val="en-GB"/>
              </w:rPr>
            </w:pPr>
            <w:r w:rsidRPr="007157A6">
              <w:rPr>
                <w:lang w:val="en-GB"/>
              </w:rPr>
              <w:t>Level of ambition</w:t>
            </w:r>
          </w:p>
        </w:tc>
        <w:tc>
          <w:tcPr>
            <w:tcW w:w="446" w:type="dxa"/>
          </w:tcPr>
          <w:p w14:paraId="4EE84839" w14:textId="77777777" w:rsidR="007157A6" w:rsidRPr="007157A6" w:rsidRDefault="007157A6" w:rsidP="007157A6">
            <w:pPr>
              <w:rPr>
                <w:lang w:val="en-GB"/>
              </w:rPr>
            </w:pPr>
          </w:p>
        </w:tc>
        <w:tc>
          <w:tcPr>
            <w:tcW w:w="447" w:type="dxa"/>
          </w:tcPr>
          <w:p w14:paraId="402799E2" w14:textId="77777777" w:rsidR="007157A6" w:rsidRPr="007157A6" w:rsidRDefault="007157A6" w:rsidP="007157A6">
            <w:pPr>
              <w:rPr>
                <w:lang w:val="en-GB"/>
              </w:rPr>
            </w:pPr>
          </w:p>
        </w:tc>
        <w:tc>
          <w:tcPr>
            <w:tcW w:w="446" w:type="dxa"/>
          </w:tcPr>
          <w:p w14:paraId="4A475183" w14:textId="77777777" w:rsidR="007157A6" w:rsidRPr="007157A6" w:rsidRDefault="007157A6" w:rsidP="007157A6">
            <w:pPr>
              <w:rPr>
                <w:lang w:val="en-GB"/>
              </w:rPr>
            </w:pPr>
          </w:p>
        </w:tc>
        <w:tc>
          <w:tcPr>
            <w:tcW w:w="447" w:type="dxa"/>
          </w:tcPr>
          <w:p w14:paraId="2D0EE356" w14:textId="77777777" w:rsidR="007157A6" w:rsidRPr="007157A6" w:rsidRDefault="007157A6" w:rsidP="007157A6">
            <w:pPr>
              <w:rPr>
                <w:lang w:val="en-GB"/>
              </w:rPr>
            </w:pPr>
          </w:p>
        </w:tc>
        <w:tc>
          <w:tcPr>
            <w:tcW w:w="447" w:type="dxa"/>
          </w:tcPr>
          <w:p w14:paraId="2F341E6E" w14:textId="77777777" w:rsidR="007157A6" w:rsidRPr="007157A6" w:rsidRDefault="007157A6" w:rsidP="007157A6">
            <w:pPr>
              <w:rPr>
                <w:lang w:val="en-GB"/>
              </w:rPr>
            </w:pPr>
          </w:p>
        </w:tc>
      </w:tr>
      <w:tr w:rsidR="007157A6" w:rsidRPr="007157A6" w14:paraId="380D658A" w14:textId="77777777" w:rsidTr="00C850ED">
        <w:tc>
          <w:tcPr>
            <w:tcW w:w="8500" w:type="dxa"/>
            <w:vMerge/>
          </w:tcPr>
          <w:p w14:paraId="377267F6" w14:textId="77777777" w:rsidR="007157A6" w:rsidRPr="007157A6" w:rsidRDefault="007157A6" w:rsidP="007157A6">
            <w:pPr>
              <w:rPr>
                <w:lang w:val="en-GB"/>
              </w:rPr>
            </w:pPr>
          </w:p>
        </w:tc>
        <w:tc>
          <w:tcPr>
            <w:tcW w:w="3544" w:type="dxa"/>
          </w:tcPr>
          <w:p w14:paraId="3B0B1D69" w14:textId="77777777" w:rsidR="007157A6" w:rsidRPr="007157A6" w:rsidRDefault="007157A6" w:rsidP="007157A6">
            <w:pPr>
              <w:rPr>
                <w:lang w:val="en-GB"/>
              </w:rPr>
            </w:pPr>
            <w:r w:rsidRPr="007157A6">
              <w:rPr>
                <w:lang w:val="en-GB"/>
              </w:rPr>
              <w:t>Practicability</w:t>
            </w:r>
          </w:p>
        </w:tc>
        <w:tc>
          <w:tcPr>
            <w:tcW w:w="446" w:type="dxa"/>
          </w:tcPr>
          <w:p w14:paraId="34742534" w14:textId="77777777" w:rsidR="007157A6" w:rsidRPr="007157A6" w:rsidRDefault="007157A6" w:rsidP="007157A6">
            <w:pPr>
              <w:rPr>
                <w:lang w:val="en-GB"/>
              </w:rPr>
            </w:pPr>
          </w:p>
        </w:tc>
        <w:tc>
          <w:tcPr>
            <w:tcW w:w="447" w:type="dxa"/>
          </w:tcPr>
          <w:p w14:paraId="66C4107C" w14:textId="77777777" w:rsidR="007157A6" w:rsidRPr="007157A6" w:rsidRDefault="007157A6" w:rsidP="007157A6">
            <w:pPr>
              <w:rPr>
                <w:lang w:val="en-GB"/>
              </w:rPr>
            </w:pPr>
          </w:p>
        </w:tc>
        <w:tc>
          <w:tcPr>
            <w:tcW w:w="446" w:type="dxa"/>
          </w:tcPr>
          <w:p w14:paraId="0AB941A9" w14:textId="77777777" w:rsidR="007157A6" w:rsidRPr="007157A6" w:rsidRDefault="007157A6" w:rsidP="007157A6">
            <w:pPr>
              <w:rPr>
                <w:lang w:val="en-GB"/>
              </w:rPr>
            </w:pPr>
          </w:p>
        </w:tc>
        <w:tc>
          <w:tcPr>
            <w:tcW w:w="447" w:type="dxa"/>
          </w:tcPr>
          <w:p w14:paraId="0018B75B" w14:textId="77777777" w:rsidR="007157A6" w:rsidRPr="007157A6" w:rsidRDefault="007157A6" w:rsidP="007157A6">
            <w:pPr>
              <w:rPr>
                <w:lang w:val="en-GB"/>
              </w:rPr>
            </w:pPr>
          </w:p>
        </w:tc>
        <w:tc>
          <w:tcPr>
            <w:tcW w:w="447" w:type="dxa"/>
          </w:tcPr>
          <w:p w14:paraId="4F3ED20F" w14:textId="77777777" w:rsidR="007157A6" w:rsidRPr="007157A6" w:rsidRDefault="007157A6" w:rsidP="007157A6">
            <w:pPr>
              <w:rPr>
                <w:lang w:val="en-GB"/>
              </w:rPr>
            </w:pPr>
          </w:p>
        </w:tc>
      </w:tr>
      <w:tr w:rsidR="007157A6" w:rsidRPr="007157A6" w14:paraId="756A869F" w14:textId="77777777" w:rsidTr="00C850ED">
        <w:tc>
          <w:tcPr>
            <w:tcW w:w="8500" w:type="dxa"/>
            <w:vMerge/>
          </w:tcPr>
          <w:p w14:paraId="74FD294F" w14:textId="77777777" w:rsidR="007157A6" w:rsidRPr="007157A6" w:rsidRDefault="007157A6" w:rsidP="007157A6">
            <w:pPr>
              <w:rPr>
                <w:lang w:val="en-GB"/>
              </w:rPr>
            </w:pPr>
          </w:p>
        </w:tc>
        <w:tc>
          <w:tcPr>
            <w:tcW w:w="3544" w:type="dxa"/>
          </w:tcPr>
          <w:p w14:paraId="2F26B529"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7B00AA4D" w14:textId="77777777" w:rsidR="007157A6" w:rsidRPr="007157A6" w:rsidRDefault="007157A6" w:rsidP="007157A6">
            <w:pPr>
              <w:rPr>
                <w:lang w:val="en-GB"/>
              </w:rPr>
            </w:pPr>
          </w:p>
        </w:tc>
        <w:tc>
          <w:tcPr>
            <w:tcW w:w="447" w:type="dxa"/>
          </w:tcPr>
          <w:p w14:paraId="639245F4" w14:textId="77777777" w:rsidR="007157A6" w:rsidRPr="007157A6" w:rsidRDefault="007157A6" w:rsidP="007157A6">
            <w:pPr>
              <w:rPr>
                <w:lang w:val="en-GB"/>
              </w:rPr>
            </w:pPr>
          </w:p>
        </w:tc>
        <w:tc>
          <w:tcPr>
            <w:tcW w:w="446" w:type="dxa"/>
          </w:tcPr>
          <w:p w14:paraId="7D9296C0" w14:textId="77777777" w:rsidR="007157A6" w:rsidRPr="007157A6" w:rsidRDefault="007157A6" w:rsidP="007157A6">
            <w:pPr>
              <w:rPr>
                <w:lang w:val="en-GB"/>
              </w:rPr>
            </w:pPr>
          </w:p>
        </w:tc>
        <w:tc>
          <w:tcPr>
            <w:tcW w:w="447" w:type="dxa"/>
          </w:tcPr>
          <w:p w14:paraId="7BAE4047" w14:textId="77777777" w:rsidR="007157A6" w:rsidRPr="007157A6" w:rsidRDefault="007157A6" w:rsidP="007157A6">
            <w:pPr>
              <w:rPr>
                <w:lang w:val="en-GB"/>
              </w:rPr>
            </w:pPr>
          </w:p>
        </w:tc>
        <w:tc>
          <w:tcPr>
            <w:tcW w:w="447" w:type="dxa"/>
          </w:tcPr>
          <w:p w14:paraId="66E4DFCC" w14:textId="77777777" w:rsidR="007157A6" w:rsidRPr="007157A6" w:rsidRDefault="007157A6" w:rsidP="007157A6">
            <w:pPr>
              <w:rPr>
                <w:lang w:val="en-GB"/>
              </w:rPr>
            </w:pPr>
          </w:p>
        </w:tc>
      </w:tr>
      <w:tr w:rsidR="007157A6" w:rsidRPr="007157A6" w14:paraId="1BE7BBAC" w14:textId="77777777" w:rsidTr="00C850ED">
        <w:tc>
          <w:tcPr>
            <w:tcW w:w="8500" w:type="dxa"/>
            <w:shd w:val="clear" w:color="auto" w:fill="D9D9D9" w:themeFill="background1" w:themeFillShade="D9"/>
          </w:tcPr>
          <w:p w14:paraId="12BB8916"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3F86C644"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3070FE2A"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79D35477"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3B5C56D0"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607B2D85"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708E3DDA" w14:textId="77777777" w:rsidR="007157A6" w:rsidRPr="007157A6" w:rsidRDefault="007157A6" w:rsidP="007157A6">
            <w:pPr>
              <w:rPr>
                <w:lang w:val="en-GB"/>
              </w:rPr>
            </w:pPr>
            <w:r w:rsidRPr="007157A6">
              <w:rPr>
                <w:b/>
                <w:lang w:val="en-GB"/>
              </w:rPr>
              <w:t>1</w:t>
            </w:r>
          </w:p>
        </w:tc>
      </w:tr>
      <w:tr w:rsidR="007157A6" w:rsidRPr="007157A6" w14:paraId="79A35298" w14:textId="77777777" w:rsidTr="00C850ED">
        <w:tc>
          <w:tcPr>
            <w:tcW w:w="8500" w:type="dxa"/>
            <w:vMerge w:val="restart"/>
          </w:tcPr>
          <w:p w14:paraId="2417897B" w14:textId="77777777" w:rsidR="007157A6" w:rsidRPr="007157A6" w:rsidRDefault="007157A6" w:rsidP="007157A6">
            <w:pPr>
              <w:pBdr>
                <w:top w:val="nil"/>
                <w:left w:val="nil"/>
                <w:bottom w:val="nil"/>
                <w:right w:val="nil"/>
                <w:between w:val="nil"/>
                <w:bar w:val="nil"/>
              </w:pBdr>
              <w:rPr>
                <w:lang w:val="en-GB"/>
              </w:rPr>
            </w:pPr>
            <w:r w:rsidRPr="007157A6">
              <w:rPr>
                <w:lang w:val="en-GB"/>
              </w:rPr>
              <w:t>The German federal government establishes a centralised office for sustainable finance in the Federal Ministry of Finance to coordinate and drive the process. In particular, this office will coordinate closely with the Federal Ministries for the Environment and the Economy as well as other relevant government agencies as to the incentive and supervisory framework for the real economy. This office will be given the requisite resources.</w:t>
            </w:r>
          </w:p>
          <w:p w14:paraId="3601FEEA" w14:textId="77777777" w:rsidR="007157A6" w:rsidRPr="007157A6" w:rsidRDefault="007157A6" w:rsidP="007157A6">
            <w:pPr>
              <w:rPr>
                <w:lang w:val="en-GB"/>
              </w:rPr>
            </w:pPr>
          </w:p>
        </w:tc>
        <w:tc>
          <w:tcPr>
            <w:tcW w:w="3544" w:type="dxa"/>
          </w:tcPr>
          <w:p w14:paraId="059D1893" w14:textId="77777777" w:rsidR="007157A6" w:rsidRPr="007157A6" w:rsidRDefault="007157A6" w:rsidP="007157A6">
            <w:pPr>
              <w:rPr>
                <w:lang w:val="en-GB"/>
              </w:rPr>
            </w:pPr>
            <w:r w:rsidRPr="007157A6">
              <w:rPr>
                <w:lang w:val="en-GB"/>
              </w:rPr>
              <w:t>Will foster Sustainable Finance in Germany</w:t>
            </w:r>
          </w:p>
        </w:tc>
        <w:tc>
          <w:tcPr>
            <w:tcW w:w="446" w:type="dxa"/>
          </w:tcPr>
          <w:p w14:paraId="76C47067" w14:textId="77777777" w:rsidR="007157A6" w:rsidRPr="007157A6" w:rsidRDefault="007157A6" w:rsidP="007157A6">
            <w:pPr>
              <w:rPr>
                <w:lang w:val="en-GB"/>
              </w:rPr>
            </w:pPr>
          </w:p>
        </w:tc>
        <w:tc>
          <w:tcPr>
            <w:tcW w:w="447" w:type="dxa"/>
          </w:tcPr>
          <w:p w14:paraId="691917AD" w14:textId="77777777" w:rsidR="007157A6" w:rsidRPr="007157A6" w:rsidRDefault="007157A6" w:rsidP="007157A6">
            <w:pPr>
              <w:rPr>
                <w:lang w:val="en-GB"/>
              </w:rPr>
            </w:pPr>
          </w:p>
        </w:tc>
        <w:tc>
          <w:tcPr>
            <w:tcW w:w="446" w:type="dxa"/>
          </w:tcPr>
          <w:p w14:paraId="02AE3639" w14:textId="77777777" w:rsidR="007157A6" w:rsidRPr="007157A6" w:rsidRDefault="007157A6" w:rsidP="007157A6">
            <w:pPr>
              <w:rPr>
                <w:lang w:val="en-GB"/>
              </w:rPr>
            </w:pPr>
          </w:p>
        </w:tc>
        <w:tc>
          <w:tcPr>
            <w:tcW w:w="447" w:type="dxa"/>
          </w:tcPr>
          <w:p w14:paraId="7062CB2C" w14:textId="77777777" w:rsidR="007157A6" w:rsidRPr="007157A6" w:rsidRDefault="007157A6" w:rsidP="007157A6">
            <w:pPr>
              <w:rPr>
                <w:lang w:val="en-GB"/>
              </w:rPr>
            </w:pPr>
          </w:p>
        </w:tc>
        <w:tc>
          <w:tcPr>
            <w:tcW w:w="447" w:type="dxa"/>
          </w:tcPr>
          <w:p w14:paraId="1919461C" w14:textId="77777777" w:rsidR="007157A6" w:rsidRPr="007157A6" w:rsidRDefault="007157A6" w:rsidP="007157A6">
            <w:pPr>
              <w:rPr>
                <w:lang w:val="en-GB"/>
              </w:rPr>
            </w:pPr>
          </w:p>
        </w:tc>
      </w:tr>
      <w:tr w:rsidR="007157A6" w:rsidRPr="007157A6" w14:paraId="15FABE87" w14:textId="77777777" w:rsidTr="00C850ED">
        <w:tc>
          <w:tcPr>
            <w:tcW w:w="8500" w:type="dxa"/>
            <w:vMerge/>
          </w:tcPr>
          <w:p w14:paraId="09A49ACA" w14:textId="77777777" w:rsidR="007157A6" w:rsidRPr="007157A6" w:rsidRDefault="007157A6" w:rsidP="007157A6">
            <w:pPr>
              <w:rPr>
                <w:lang w:val="en-GB"/>
              </w:rPr>
            </w:pPr>
          </w:p>
        </w:tc>
        <w:tc>
          <w:tcPr>
            <w:tcW w:w="3544" w:type="dxa"/>
          </w:tcPr>
          <w:p w14:paraId="0AD2FDBE" w14:textId="77777777" w:rsidR="007157A6" w:rsidRPr="007157A6" w:rsidRDefault="007157A6" w:rsidP="007157A6">
            <w:pPr>
              <w:rPr>
                <w:lang w:val="en-GB"/>
              </w:rPr>
            </w:pPr>
            <w:r w:rsidRPr="007157A6">
              <w:rPr>
                <w:lang w:val="en-GB"/>
              </w:rPr>
              <w:t>Level of ambition</w:t>
            </w:r>
          </w:p>
        </w:tc>
        <w:tc>
          <w:tcPr>
            <w:tcW w:w="446" w:type="dxa"/>
          </w:tcPr>
          <w:p w14:paraId="5B5D2B01" w14:textId="77777777" w:rsidR="007157A6" w:rsidRPr="007157A6" w:rsidRDefault="007157A6" w:rsidP="007157A6">
            <w:pPr>
              <w:rPr>
                <w:lang w:val="en-GB"/>
              </w:rPr>
            </w:pPr>
          </w:p>
        </w:tc>
        <w:tc>
          <w:tcPr>
            <w:tcW w:w="447" w:type="dxa"/>
          </w:tcPr>
          <w:p w14:paraId="20479C0F" w14:textId="77777777" w:rsidR="007157A6" w:rsidRPr="007157A6" w:rsidRDefault="007157A6" w:rsidP="007157A6">
            <w:pPr>
              <w:rPr>
                <w:lang w:val="en-GB"/>
              </w:rPr>
            </w:pPr>
          </w:p>
        </w:tc>
        <w:tc>
          <w:tcPr>
            <w:tcW w:w="446" w:type="dxa"/>
          </w:tcPr>
          <w:p w14:paraId="763AA4FE" w14:textId="77777777" w:rsidR="007157A6" w:rsidRPr="007157A6" w:rsidRDefault="007157A6" w:rsidP="007157A6">
            <w:pPr>
              <w:rPr>
                <w:lang w:val="en-GB"/>
              </w:rPr>
            </w:pPr>
          </w:p>
        </w:tc>
        <w:tc>
          <w:tcPr>
            <w:tcW w:w="447" w:type="dxa"/>
          </w:tcPr>
          <w:p w14:paraId="42D8914B" w14:textId="77777777" w:rsidR="007157A6" w:rsidRPr="007157A6" w:rsidRDefault="007157A6" w:rsidP="007157A6">
            <w:pPr>
              <w:rPr>
                <w:lang w:val="en-GB"/>
              </w:rPr>
            </w:pPr>
          </w:p>
        </w:tc>
        <w:tc>
          <w:tcPr>
            <w:tcW w:w="447" w:type="dxa"/>
          </w:tcPr>
          <w:p w14:paraId="094ACF2E" w14:textId="77777777" w:rsidR="007157A6" w:rsidRPr="007157A6" w:rsidRDefault="007157A6" w:rsidP="007157A6">
            <w:pPr>
              <w:rPr>
                <w:lang w:val="en-GB"/>
              </w:rPr>
            </w:pPr>
          </w:p>
        </w:tc>
      </w:tr>
      <w:tr w:rsidR="007157A6" w:rsidRPr="007157A6" w14:paraId="41323126" w14:textId="77777777" w:rsidTr="00C850ED">
        <w:tc>
          <w:tcPr>
            <w:tcW w:w="8500" w:type="dxa"/>
            <w:vMerge/>
          </w:tcPr>
          <w:p w14:paraId="4F6BF7F7" w14:textId="77777777" w:rsidR="007157A6" w:rsidRPr="007157A6" w:rsidRDefault="007157A6" w:rsidP="007157A6">
            <w:pPr>
              <w:rPr>
                <w:lang w:val="en-GB"/>
              </w:rPr>
            </w:pPr>
          </w:p>
        </w:tc>
        <w:tc>
          <w:tcPr>
            <w:tcW w:w="3544" w:type="dxa"/>
          </w:tcPr>
          <w:p w14:paraId="7C149E09" w14:textId="77777777" w:rsidR="007157A6" w:rsidRPr="007157A6" w:rsidRDefault="007157A6" w:rsidP="007157A6">
            <w:pPr>
              <w:rPr>
                <w:lang w:val="en-GB"/>
              </w:rPr>
            </w:pPr>
            <w:r w:rsidRPr="007157A6">
              <w:rPr>
                <w:lang w:val="en-GB"/>
              </w:rPr>
              <w:t>Practicability</w:t>
            </w:r>
          </w:p>
        </w:tc>
        <w:tc>
          <w:tcPr>
            <w:tcW w:w="446" w:type="dxa"/>
          </w:tcPr>
          <w:p w14:paraId="3DFFC145" w14:textId="77777777" w:rsidR="007157A6" w:rsidRPr="007157A6" w:rsidRDefault="007157A6" w:rsidP="007157A6">
            <w:pPr>
              <w:rPr>
                <w:lang w:val="en-GB"/>
              </w:rPr>
            </w:pPr>
          </w:p>
        </w:tc>
        <w:tc>
          <w:tcPr>
            <w:tcW w:w="447" w:type="dxa"/>
          </w:tcPr>
          <w:p w14:paraId="17A6539A" w14:textId="77777777" w:rsidR="007157A6" w:rsidRPr="007157A6" w:rsidRDefault="007157A6" w:rsidP="007157A6">
            <w:pPr>
              <w:rPr>
                <w:lang w:val="en-GB"/>
              </w:rPr>
            </w:pPr>
          </w:p>
        </w:tc>
        <w:tc>
          <w:tcPr>
            <w:tcW w:w="446" w:type="dxa"/>
          </w:tcPr>
          <w:p w14:paraId="62E2051F" w14:textId="77777777" w:rsidR="007157A6" w:rsidRPr="007157A6" w:rsidRDefault="007157A6" w:rsidP="007157A6">
            <w:pPr>
              <w:rPr>
                <w:lang w:val="en-GB"/>
              </w:rPr>
            </w:pPr>
          </w:p>
        </w:tc>
        <w:tc>
          <w:tcPr>
            <w:tcW w:w="447" w:type="dxa"/>
          </w:tcPr>
          <w:p w14:paraId="13EB6FB9" w14:textId="77777777" w:rsidR="007157A6" w:rsidRPr="007157A6" w:rsidRDefault="007157A6" w:rsidP="007157A6">
            <w:pPr>
              <w:rPr>
                <w:lang w:val="en-GB"/>
              </w:rPr>
            </w:pPr>
          </w:p>
        </w:tc>
        <w:tc>
          <w:tcPr>
            <w:tcW w:w="447" w:type="dxa"/>
          </w:tcPr>
          <w:p w14:paraId="4A29D08B" w14:textId="77777777" w:rsidR="007157A6" w:rsidRPr="007157A6" w:rsidRDefault="007157A6" w:rsidP="007157A6">
            <w:pPr>
              <w:rPr>
                <w:lang w:val="en-GB"/>
              </w:rPr>
            </w:pPr>
          </w:p>
        </w:tc>
      </w:tr>
      <w:tr w:rsidR="007157A6" w:rsidRPr="007157A6" w14:paraId="487D0A4F" w14:textId="77777777" w:rsidTr="00C850ED">
        <w:tc>
          <w:tcPr>
            <w:tcW w:w="8500" w:type="dxa"/>
            <w:vMerge/>
          </w:tcPr>
          <w:p w14:paraId="3D9451AD" w14:textId="77777777" w:rsidR="007157A6" w:rsidRPr="007157A6" w:rsidRDefault="007157A6" w:rsidP="007157A6">
            <w:pPr>
              <w:rPr>
                <w:lang w:val="en-GB"/>
              </w:rPr>
            </w:pPr>
          </w:p>
        </w:tc>
        <w:tc>
          <w:tcPr>
            <w:tcW w:w="3544" w:type="dxa"/>
          </w:tcPr>
          <w:p w14:paraId="7E0E2FA3"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01467F99" w14:textId="77777777" w:rsidR="007157A6" w:rsidRPr="007157A6" w:rsidRDefault="007157A6" w:rsidP="007157A6">
            <w:pPr>
              <w:rPr>
                <w:lang w:val="en-GB"/>
              </w:rPr>
            </w:pPr>
          </w:p>
        </w:tc>
        <w:tc>
          <w:tcPr>
            <w:tcW w:w="447" w:type="dxa"/>
          </w:tcPr>
          <w:p w14:paraId="0899BBF8" w14:textId="77777777" w:rsidR="007157A6" w:rsidRPr="007157A6" w:rsidRDefault="007157A6" w:rsidP="007157A6">
            <w:pPr>
              <w:rPr>
                <w:lang w:val="en-GB"/>
              </w:rPr>
            </w:pPr>
          </w:p>
        </w:tc>
        <w:tc>
          <w:tcPr>
            <w:tcW w:w="446" w:type="dxa"/>
          </w:tcPr>
          <w:p w14:paraId="0CCCD318" w14:textId="77777777" w:rsidR="007157A6" w:rsidRPr="007157A6" w:rsidRDefault="007157A6" w:rsidP="007157A6">
            <w:pPr>
              <w:rPr>
                <w:lang w:val="en-GB"/>
              </w:rPr>
            </w:pPr>
          </w:p>
        </w:tc>
        <w:tc>
          <w:tcPr>
            <w:tcW w:w="447" w:type="dxa"/>
          </w:tcPr>
          <w:p w14:paraId="28CAEEF6" w14:textId="77777777" w:rsidR="007157A6" w:rsidRPr="007157A6" w:rsidRDefault="007157A6" w:rsidP="007157A6">
            <w:pPr>
              <w:rPr>
                <w:lang w:val="en-GB"/>
              </w:rPr>
            </w:pPr>
          </w:p>
        </w:tc>
        <w:tc>
          <w:tcPr>
            <w:tcW w:w="447" w:type="dxa"/>
          </w:tcPr>
          <w:p w14:paraId="0C3E2E25" w14:textId="77777777" w:rsidR="007157A6" w:rsidRPr="007157A6" w:rsidRDefault="007157A6" w:rsidP="007157A6">
            <w:pPr>
              <w:rPr>
                <w:lang w:val="en-GB"/>
              </w:rPr>
            </w:pPr>
          </w:p>
        </w:tc>
      </w:tr>
      <w:tr w:rsidR="007157A6" w:rsidRPr="007157A6" w14:paraId="46459EAF" w14:textId="77777777" w:rsidTr="00C850ED">
        <w:tc>
          <w:tcPr>
            <w:tcW w:w="8500" w:type="dxa"/>
            <w:shd w:val="clear" w:color="auto" w:fill="D9D9D9" w:themeFill="background1" w:themeFillShade="D9"/>
          </w:tcPr>
          <w:p w14:paraId="00015820"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4E9E7022"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2F409E26"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5CFFD851"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5E1A8453"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3A534962"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2832F74A" w14:textId="77777777" w:rsidR="007157A6" w:rsidRPr="007157A6" w:rsidRDefault="007157A6" w:rsidP="007157A6">
            <w:pPr>
              <w:rPr>
                <w:lang w:val="en-GB"/>
              </w:rPr>
            </w:pPr>
            <w:r w:rsidRPr="007157A6">
              <w:rPr>
                <w:b/>
                <w:lang w:val="en-GB"/>
              </w:rPr>
              <w:t>1</w:t>
            </w:r>
          </w:p>
        </w:tc>
      </w:tr>
      <w:tr w:rsidR="007157A6" w:rsidRPr="007157A6" w14:paraId="3C52EDDB" w14:textId="77777777" w:rsidTr="00C850ED">
        <w:tc>
          <w:tcPr>
            <w:tcW w:w="8500" w:type="dxa"/>
            <w:vMerge w:val="restart"/>
          </w:tcPr>
          <w:p w14:paraId="77E58061" w14:textId="77777777" w:rsidR="007157A6" w:rsidRPr="007157A6" w:rsidRDefault="007157A6" w:rsidP="007157A6">
            <w:pPr>
              <w:rPr>
                <w:lang w:val="en-GB"/>
              </w:rPr>
            </w:pPr>
            <w:r w:rsidRPr="007157A6">
              <w:rPr>
                <w:lang w:val="en-GB"/>
              </w:rPr>
              <w:t>Governmental agencies at both the federal and the state level will combine their activities in a joint and coordinated federal/state strategy for sustainable finance. A joint sustainable finance strategy will be launched at a sustainable finance summit in early 2021.</w:t>
            </w:r>
          </w:p>
        </w:tc>
        <w:tc>
          <w:tcPr>
            <w:tcW w:w="3544" w:type="dxa"/>
          </w:tcPr>
          <w:p w14:paraId="3A7AFD27" w14:textId="77777777" w:rsidR="007157A6" w:rsidRPr="007157A6" w:rsidRDefault="007157A6" w:rsidP="007157A6">
            <w:pPr>
              <w:rPr>
                <w:lang w:val="en-GB"/>
              </w:rPr>
            </w:pPr>
            <w:r w:rsidRPr="007157A6">
              <w:rPr>
                <w:lang w:val="en-GB"/>
              </w:rPr>
              <w:t>Will foster Sustainable Finance in Germany</w:t>
            </w:r>
          </w:p>
        </w:tc>
        <w:tc>
          <w:tcPr>
            <w:tcW w:w="446" w:type="dxa"/>
          </w:tcPr>
          <w:p w14:paraId="1B4E9B02" w14:textId="77777777" w:rsidR="007157A6" w:rsidRPr="007157A6" w:rsidRDefault="007157A6" w:rsidP="007157A6">
            <w:pPr>
              <w:rPr>
                <w:lang w:val="en-GB"/>
              </w:rPr>
            </w:pPr>
          </w:p>
        </w:tc>
        <w:tc>
          <w:tcPr>
            <w:tcW w:w="447" w:type="dxa"/>
          </w:tcPr>
          <w:p w14:paraId="319D6D66" w14:textId="77777777" w:rsidR="007157A6" w:rsidRPr="007157A6" w:rsidRDefault="007157A6" w:rsidP="007157A6">
            <w:pPr>
              <w:rPr>
                <w:lang w:val="en-GB"/>
              </w:rPr>
            </w:pPr>
          </w:p>
        </w:tc>
        <w:tc>
          <w:tcPr>
            <w:tcW w:w="446" w:type="dxa"/>
          </w:tcPr>
          <w:p w14:paraId="7F7ABB71" w14:textId="77777777" w:rsidR="007157A6" w:rsidRPr="007157A6" w:rsidRDefault="007157A6" w:rsidP="007157A6">
            <w:pPr>
              <w:rPr>
                <w:lang w:val="en-GB"/>
              </w:rPr>
            </w:pPr>
          </w:p>
        </w:tc>
        <w:tc>
          <w:tcPr>
            <w:tcW w:w="447" w:type="dxa"/>
          </w:tcPr>
          <w:p w14:paraId="2275D2A4" w14:textId="77777777" w:rsidR="007157A6" w:rsidRPr="007157A6" w:rsidRDefault="007157A6" w:rsidP="007157A6">
            <w:pPr>
              <w:rPr>
                <w:lang w:val="en-GB"/>
              </w:rPr>
            </w:pPr>
          </w:p>
        </w:tc>
        <w:tc>
          <w:tcPr>
            <w:tcW w:w="447" w:type="dxa"/>
          </w:tcPr>
          <w:p w14:paraId="1D1EA955" w14:textId="77777777" w:rsidR="007157A6" w:rsidRPr="007157A6" w:rsidRDefault="007157A6" w:rsidP="007157A6">
            <w:pPr>
              <w:rPr>
                <w:lang w:val="en-GB"/>
              </w:rPr>
            </w:pPr>
          </w:p>
        </w:tc>
      </w:tr>
      <w:tr w:rsidR="007157A6" w:rsidRPr="007157A6" w14:paraId="1274429F" w14:textId="77777777" w:rsidTr="00C850ED">
        <w:tc>
          <w:tcPr>
            <w:tcW w:w="8500" w:type="dxa"/>
            <w:vMerge/>
          </w:tcPr>
          <w:p w14:paraId="547BCB71" w14:textId="77777777" w:rsidR="007157A6" w:rsidRPr="007157A6" w:rsidRDefault="007157A6" w:rsidP="007157A6">
            <w:pPr>
              <w:rPr>
                <w:lang w:val="en-GB"/>
              </w:rPr>
            </w:pPr>
          </w:p>
        </w:tc>
        <w:tc>
          <w:tcPr>
            <w:tcW w:w="3544" w:type="dxa"/>
          </w:tcPr>
          <w:p w14:paraId="2C388292" w14:textId="77777777" w:rsidR="007157A6" w:rsidRPr="007157A6" w:rsidRDefault="007157A6" w:rsidP="007157A6">
            <w:pPr>
              <w:rPr>
                <w:lang w:val="en-GB"/>
              </w:rPr>
            </w:pPr>
            <w:r w:rsidRPr="007157A6">
              <w:rPr>
                <w:lang w:val="en-GB"/>
              </w:rPr>
              <w:t>Level of ambition</w:t>
            </w:r>
          </w:p>
        </w:tc>
        <w:tc>
          <w:tcPr>
            <w:tcW w:w="446" w:type="dxa"/>
          </w:tcPr>
          <w:p w14:paraId="0EF5F0AF" w14:textId="77777777" w:rsidR="007157A6" w:rsidRPr="007157A6" w:rsidRDefault="007157A6" w:rsidP="007157A6">
            <w:pPr>
              <w:rPr>
                <w:lang w:val="en-GB"/>
              </w:rPr>
            </w:pPr>
          </w:p>
        </w:tc>
        <w:tc>
          <w:tcPr>
            <w:tcW w:w="447" w:type="dxa"/>
          </w:tcPr>
          <w:p w14:paraId="0C1F34A8" w14:textId="77777777" w:rsidR="007157A6" w:rsidRPr="007157A6" w:rsidRDefault="007157A6" w:rsidP="007157A6">
            <w:pPr>
              <w:rPr>
                <w:lang w:val="en-GB"/>
              </w:rPr>
            </w:pPr>
          </w:p>
        </w:tc>
        <w:tc>
          <w:tcPr>
            <w:tcW w:w="446" w:type="dxa"/>
          </w:tcPr>
          <w:p w14:paraId="2433C4A9" w14:textId="77777777" w:rsidR="007157A6" w:rsidRPr="007157A6" w:rsidRDefault="007157A6" w:rsidP="007157A6">
            <w:pPr>
              <w:rPr>
                <w:lang w:val="en-GB"/>
              </w:rPr>
            </w:pPr>
          </w:p>
        </w:tc>
        <w:tc>
          <w:tcPr>
            <w:tcW w:w="447" w:type="dxa"/>
          </w:tcPr>
          <w:p w14:paraId="710C40A3" w14:textId="77777777" w:rsidR="007157A6" w:rsidRPr="007157A6" w:rsidRDefault="007157A6" w:rsidP="007157A6">
            <w:pPr>
              <w:rPr>
                <w:lang w:val="en-GB"/>
              </w:rPr>
            </w:pPr>
          </w:p>
        </w:tc>
        <w:tc>
          <w:tcPr>
            <w:tcW w:w="447" w:type="dxa"/>
          </w:tcPr>
          <w:p w14:paraId="7E18A4B9" w14:textId="77777777" w:rsidR="007157A6" w:rsidRPr="007157A6" w:rsidRDefault="007157A6" w:rsidP="007157A6">
            <w:pPr>
              <w:rPr>
                <w:lang w:val="en-GB"/>
              </w:rPr>
            </w:pPr>
          </w:p>
        </w:tc>
      </w:tr>
      <w:tr w:rsidR="007157A6" w:rsidRPr="007157A6" w14:paraId="68732CBC" w14:textId="77777777" w:rsidTr="00C850ED">
        <w:tc>
          <w:tcPr>
            <w:tcW w:w="8500" w:type="dxa"/>
            <w:vMerge/>
          </w:tcPr>
          <w:p w14:paraId="112C9984" w14:textId="77777777" w:rsidR="007157A6" w:rsidRPr="007157A6" w:rsidRDefault="007157A6" w:rsidP="007157A6">
            <w:pPr>
              <w:rPr>
                <w:lang w:val="en-GB"/>
              </w:rPr>
            </w:pPr>
          </w:p>
        </w:tc>
        <w:tc>
          <w:tcPr>
            <w:tcW w:w="3544" w:type="dxa"/>
          </w:tcPr>
          <w:p w14:paraId="770A28ED" w14:textId="77777777" w:rsidR="007157A6" w:rsidRPr="007157A6" w:rsidRDefault="007157A6" w:rsidP="007157A6">
            <w:pPr>
              <w:rPr>
                <w:lang w:val="en-GB"/>
              </w:rPr>
            </w:pPr>
            <w:r w:rsidRPr="007157A6">
              <w:rPr>
                <w:lang w:val="en-GB"/>
              </w:rPr>
              <w:t>Practicability</w:t>
            </w:r>
          </w:p>
        </w:tc>
        <w:tc>
          <w:tcPr>
            <w:tcW w:w="446" w:type="dxa"/>
          </w:tcPr>
          <w:p w14:paraId="5BD11358" w14:textId="77777777" w:rsidR="007157A6" w:rsidRPr="007157A6" w:rsidRDefault="007157A6" w:rsidP="007157A6">
            <w:pPr>
              <w:rPr>
                <w:lang w:val="en-GB"/>
              </w:rPr>
            </w:pPr>
          </w:p>
        </w:tc>
        <w:tc>
          <w:tcPr>
            <w:tcW w:w="447" w:type="dxa"/>
          </w:tcPr>
          <w:p w14:paraId="7EDFEB8F" w14:textId="77777777" w:rsidR="007157A6" w:rsidRPr="007157A6" w:rsidRDefault="007157A6" w:rsidP="007157A6">
            <w:pPr>
              <w:rPr>
                <w:lang w:val="en-GB"/>
              </w:rPr>
            </w:pPr>
          </w:p>
        </w:tc>
        <w:tc>
          <w:tcPr>
            <w:tcW w:w="446" w:type="dxa"/>
          </w:tcPr>
          <w:p w14:paraId="6F5CCFEC" w14:textId="77777777" w:rsidR="007157A6" w:rsidRPr="007157A6" w:rsidRDefault="007157A6" w:rsidP="007157A6">
            <w:pPr>
              <w:rPr>
                <w:lang w:val="en-GB"/>
              </w:rPr>
            </w:pPr>
          </w:p>
        </w:tc>
        <w:tc>
          <w:tcPr>
            <w:tcW w:w="447" w:type="dxa"/>
          </w:tcPr>
          <w:p w14:paraId="56A17E0E" w14:textId="77777777" w:rsidR="007157A6" w:rsidRPr="007157A6" w:rsidRDefault="007157A6" w:rsidP="007157A6">
            <w:pPr>
              <w:rPr>
                <w:lang w:val="en-GB"/>
              </w:rPr>
            </w:pPr>
          </w:p>
        </w:tc>
        <w:tc>
          <w:tcPr>
            <w:tcW w:w="447" w:type="dxa"/>
          </w:tcPr>
          <w:p w14:paraId="0C6DB987" w14:textId="77777777" w:rsidR="007157A6" w:rsidRPr="007157A6" w:rsidRDefault="007157A6" w:rsidP="007157A6">
            <w:pPr>
              <w:rPr>
                <w:lang w:val="en-GB"/>
              </w:rPr>
            </w:pPr>
          </w:p>
        </w:tc>
      </w:tr>
      <w:tr w:rsidR="007157A6" w:rsidRPr="007157A6" w14:paraId="7738E3D8" w14:textId="77777777" w:rsidTr="00C850ED">
        <w:tc>
          <w:tcPr>
            <w:tcW w:w="8500" w:type="dxa"/>
            <w:vMerge/>
          </w:tcPr>
          <w:p w14:paraId="25880715" w14:textId="77777777" w:rsidR="007157A6" w:rsidRPr="007157A6" w:rsidRDefault="007157A6" w:rsidP="007157A6">
            <w:pPr>
              <w:rPr>
                <w:lang w:val="en-GB"/>
              </w:rPr>
            </w:pPr>
          </w:p>
        </w:tc>
        <w:tc>
          <w:tcPr>
            <w:tcW w:w="3544" w:type="dxa"/>
          </w:tcPr>
          <w:p w14:paraId="6E8481D9"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6C765E23" w14:textId="77777777" w:rsidR="007157A6" w:rsidRPr="007157A6" w:rsidRDefault="007157A6" w:rsidP="007157A6">
            <w:pPr>
              <w:rPr>
                <w:lang w:val="en-GB"/>
              </w:rPr>
            </w:pPr>
          </w:p>
        </w:tc>
        <w:tc>
          <w:tcPr>
            <w:tcW w:w="447" w:type="dxa"/>
          </w:tcPr>
          <w:p w14:paraId="14064BBF" w14:textId="77777777" w:rsidR="007157A6" w:rsidRPr="007157A6" w:rsidRDefault="007157A6" w:rsidP="007157A6">
            <w:pPr>
              <w:rPr>
                <w:lang w:val="en-GB"/>
              </w:rPr>
            </w:pPr>
          </w:p>
        </w:tc>
        <w:tc>
          <w:tcPr>
            <w:tcW w:w="446" w:type="dxa"/>
          </w:tcPr>
          <w:p w14:paraId="50948892" w14:textId="77777777" w:rsidR="007157A6" w:rsidRPr="007157A6" w:rsidRDefault="007157A6" w:rsidP="007157A6">
            <w:pPr>
              <w:rPr>
                <w:lang w:val="en-GB"/>
              </w:rPr>
            </w:pPr>
          </w:p>
        </w:tc>
        <w:tc>
          <w:tcPr>
            <w:tcW w:w="447" w:type="dxa"/>
          </w:tcPr>
          <w:p w14:paraId="6D482CFE" w14:textId="77777777" w:rsidR="007157A6" w:rsidRPr="007157A6" w:rsidRDefault="007157A6" w:rsidP="007157A6">
            <w:pPr>
              <w:rPr>
                <w:lang w:val="en-GB"/>
              </w:rPr>
            </w:pPr>
          </w:p>
        </w:tc>
        <w:tc>
          <w:tcPr>
            <w:tcW w:w="447" w:type="dxa"/>
          </w:tcPr>
          <w:p w14:paraId="04F2F1F4" w14:textId="77777777" w:rsidR="007157A6" w:rsidRPr="007157A6" w:rsidRDefault="007157A6" w:rsidP="007157A6">
            <w:pPr>
              <w:rPr>
                <w:lang w:val="en-GB"/>
              </w:rPr>
            </w:pPr>
          </w:p>
        </w:tc>
      </w:tr>
    </w:tbl>
    <w:p w14:paraId="5C89DD3D" w14:textId="77777777" w:rsidR="007157A6" w:rsidRPr="007157A6" w:rsidRDefault="007157A6" w:rsidP="007157A6">
      <w:pPr>
        <w:rPr>
          <w:lang w:val="en-GB"/>
        </w:rPr>
      </w:pPr>
    </w:p>
    <w:p w14:paraId="2FF94C18" w14:textId="77777777" w:rsidR="007157A6" w:rsidRPr="007157A6" w:rsidRDefault="007157A6" w:rsidP="007157A6">
      <w:pPr>
        <w:numPr>
          <w:ilvl w:val="0"/>
          <w:numId w:val="1"/>
        </w:numPr>
        <w:contextualSpacing/>
        <w:rPr>
          <w:lang w:val="en-GB"/>
        </w:rPr>
      </w:pPr>
      <w:r w:rsidRPr="007157A6">
        <w:rPr>
          <w:lang w:val="en-GB"/>
        </w:rPr>
        <w:t xml:space="preserve">Are there exiting rules and regulations that are </w:t>
      </w:r>
      <w:r w:rsidR="00C850ED" w:rsidRPr="007157A6">
        <w:rPr>
          <w:lang w:val="en-GB"/>
        </w:rPr>
        <w:t>contradicto</w:t>
      </w:r>
      <w:r w:rsidR="00C850ED">
        <w:rPr>
          <w:lang w:val="en-GB"/>
        </w:rPr>
        <w:t>r</w:t>
      </w:r>
      <w:r w:rsidR="00C850ED" w:rsidRPr="007157A6">
        <w:rPr>
          <w:lang w:val="en-GB"/>
        </w:rPr>
        <w:t>y</w:t>
      </w:r>
      <w:r w:rsidRPr="007157A6">
        <w:rPr>
          <w:lang w:val="en-GB"/>
        </w:rPr>
        <w:t xml:space="preserve"> as regards Sustainable Finance?</w:t>
      </w:r>
    </w:p>
    <w:p w14:paraId="09E913E2" w14:textId="77777777" w:rsidR="007157A6" w:rsidRPr="007157A6" w:rsidRDefault="007157A6" w:rsidP="007157A6">
      <w:pPr>
        <w:ind w:left="360"/>
        <w:contextualSpacing/>
        <w:rPr>
          <w:lang w:val="en-GB"/>
        </w:rPr>
      </w:pPr>
      <w:r w:rsidRPr="007157A6">
        <w:rPr>
          <w:noProof/>
          <w:lang w:eastAsia="de-DE"/>
        </w:rPr>
        <mc:AlternateContent>
          <mc:Choice Requires="wps">
            <w:drawing>
              <wp:anchor distT="0" distB="0" distL="114300" distR="114300" simplePos="0" relativeHeight="251660288" behindDoc="0" locked="0" layoutInCell="1" allowOverlap="1" wp14:anchorId="1E792B63" wp14:editId="2982407F">
                <wp:simplePos x="0" y="0"/>
                <wp:positionH relativeFrom="column">
                  <wp:posOffset>0</wp:posOffset>
                </wp:positionH>
                <wp:positionV relativeFrom="paragraph">
                  <wp:posOffset>56515</wp:posOffset>
                </wp:positionV>
                <wp:extent cx="4460626" cy="254442"/>
                <wp:effectExtent l="0" t="0" r="16510" b="127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626" cy="254442"/>
                        </a:xfrm>
                        <a:prstGeom prst="rect">
                          <a:avLst/>
                        </a:prstGeom>
                        <a:solidFill>
                          <a:srgbClr val="FFFFFF"/>
                        </a:solidFill>
                        <a:ln w="9525">
                          <a:solidFill>
                            <a:srgbClr val="000000"/>
                          </a:solidFill>
                          <a:miter lim="800000"/>
                          <a:headEnd/>
                          <a:tailEnd/>
                        </a:ln>
                      </wps:spPr>
                      <wps:txbx>
                        <w:txbxContent>
                          <w:p w14:paraId="4BE7D0DF"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70F66" id="_x0000_s1028" type="#_x0000_t202" style="position:absolute;left:0;text-align:left;margin-left:0;margin-top:4.45pt;width:351.2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4DAC6C70" w14:textId="77777777" w:rsidR="007157A6" w:rsidRPr="007157A6" w:rsidRDefault="007157A6" w:rsidP="007157A6">
      <w:pPr>
        <w:rPr>
          <w:lang w:val="en-GB"/>
        </w:rPr>
      </w:pPr>
    </w:p>
    <w:p w14:paraId="6AC8EC63" w14:textId="77777777" w:rsidR="00C850ED" w:rsidRDefault="00C850ED" w:rsidP="007157A6">
      <w:pPr>
        <w:rPr>
          <w:b/>
          <w:sz w:val="28"/>
          <w:lang w:val="en-GB"/>
        </w:rPr>
      </w:pPr>
      <w:r>
        <w:rPr>
          <w:b/>
          <w:sz w:val="28"/>
          <w:lang w:val="en-GB"/>
        </w:rPr>
        <w:br w:type="page"/>
      </w:r>
    </w:p>
    <w:p w14:paraId="39217ACA" w14:textId="77777777" w:rsidR="007157A6" w:rsidRPr="007157A6" w:rsidRDefault="007157A6" w:rsidP="00C850ED">
      <w:pPr>
        <w:pBdr>
          <w:bottom w:val="single" w:sz="4" w:space="1" w:color="auto"/>
        </w:pBdr>
        <w:rPr>
          <w:b/>
          <w:sz w:val="28"/>
          <w:lang w:val="en-GB"/>
        </w:rPr>
      </w:pPr>
      <w:r w:rsidRPr="007157A6">
        <w:rPr>
          <w:b/>
          <w:sz w:val="28"/>
          <w:lang w:val="en-GB"/>
        </w:rPr>
        <w:lastRenderedPageBreak/>
        <w:t>R</w:t>
      </w:r>
      <w:r w:rsidR="00C850ED">
        <w:rPr>
          <w:b/>
          <w:sz w:val="28"/>
          <w:lang w:val="en-GB"/>
        </w:rPr>
        <w:t>ole of Key Financial Market Players</w:t>
      </w:r>
    </w:p>
    <w:p w14:paraId="547075B7"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500"/>
        <w:gridCol w:w="3544"/>
        <w:gridCol w:w="446"/>
        <w:gridCol w:w="447"/>
        <w:gridCol w:w="446"/>
        <w:gridCol w:w="447"/>
        <w:gridCol w:w="447"/>
      </w:tblGrid>
      <w:tr w:rsidR="007157A6" w:rsidRPr="007157A6" w14:paraId="189079D0" w14:textId="77777777" w:rsidTr="00C850ED">
        <w:tc>
          <w:tcPr>
            <w:tcW w:w="8500" w:type="dxa"/>
            <w:shd w:val="clear" w:color="auto" w:fill="D9D9D9" w:themeFill="background1" w:themeFillShade="D9"/>
          </w:tcPr>
          <w:p w14:paraId="7960E19E"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14BC5912" w14:textId="77777777" w:rsidR="007157A6" w:rsidRPr="007157A6" w:rsidRDefault="007157A6" w:rsidP="007157A6">
            <w:pPr>
              <w:rPr>
                <w:b/>
                <w:lang w:val="en-GB"/>
              </w:rPr>
            </w:pPr>
            <w:r w:rsidRPr="007157A6">
              <w:rPr>
                <w:b/>
                <w:lang w:val="en-GB"/>
              </w:rPr>
              <w:t>Evaluation category</w:t>
            </w:r>
          </w:p>
        </w:tc>
        <w:tc>
          <w:tcPr>
            <w:tcW w:w="446" w:type="dxa"/>
            <w:shd w:val="clear" w:color="auto" w:fill="D9D9D9" w:themeFill="background1" w:themeFillShade="D9"/>
          </w:tcPr>
          <w:p w14:paraId="18B1C5F5" w14:textId="77777777" w:rsidR="007157A6" w:rsidRPr="007157A6" w:rsidRDefault="007157A6" w:rsidP="007157A6">
            <w:pPr>
              <w:rPr>
                <w:b/>
                <w:lang w:val="en-GB"/>
              </w:rPr>
            </w:pPr>
            <w:r w:rsidRPr="007157A6">
              <w:rPr>
                <w:b/>
                <w:lang w:val="en-GB"/>
              </w:rPr>
              <w:t>5</w:t>
            </w:r>
          </w:p>
        </w:tc>
        <w:tc>
          <w:tcPr>
            <w:tcW w:w="447" w:type="dxa"/>
            <w:shd w:val="clear" w:color="auto" w:fill="D9D9D9" w:themeFill="background1" w:themeFillShade="D9"/>
          </w:tcPr>
          <w:p w14:paraId="7704073E" w14:textId="77777777" w:rsidR="007157A6" w:rsidRPr="007157A6" w:rsidRDefault="007157A6" w:rsidP="007157A6">
            <w:pPr>
              <w:rPr>
                <w:b/>
                <w:lang w:val="en-GB"/>
              </w:rPr>
            </w:pPr>
            <w:r w:rsidRPr="007157A6">
              <w:rPr>
                <w:b/>
                <w:lang w:val="en-GB"/>
              </w:rPr>
              <w:t>4</w:t>
            </w:r>
          </w:p>
        </w:tc>
        <w:tc>
          <w:tcPr>
            <w:tcW w:w="446" w:type="dxa"/>
            <w:shd w:val="clear" w:color="auto" w:fill="D9D9D9" w:themeFill="background1" w:themeFillShade="D9"/>
          </w:tcPr>
          <w:p w14:paraId="7096BB0C" w14:textId="77777777" w:rsidR="007157A6" w:rsidRPr="007157A6" w:rsidRDefault="007157A6" w:rsidP="007157A6">
            <w:pPr>
              <w:rPr>
                <w:b/>
                <w:lang w:val="en-GB"/>
              </w:rPr>
            </w:pPr>
            <w:r w:rsidRPr="007157A6">
              <w:rPr>
                <w:b/>
                <w:lang w:val="en-GB"/>
              </w:rPr>
              <w:t>3</w:t>
            </w:r>
          </w:p>
        </w:tc>
        <w:tc>
          <w:tcPr>
            <w:tcW w:w="447" w:type="dxa"/>
            <w:shd w:val="clear" w:color="auto" w:fill="D9D9D9" w:themeFill="background1" w:themeFillShade="D9"/>
          </w:tcPr>
          <w:p w14:paraId="6192C05B" w14:textId="77777777" w:rsidR="007157A6" w:rsidRPr="007157A6" w:rsidRDefault="007157A6" w:rsidP="007157A6">
            <w:pPr>
              <w:rPr>
                <w:b/>
                <w:lang w:val="en-GB"/>
              </w:rPr>
            </w:pPr>
            <w:r w:rsidRPr="007157A6">
              <w:rPr>
                <w:b/>
                <w:lang w:val="en-GB"/>
              </w:rPr>
              <w:t>2</w:t>
            </w:r>
          </w:p>
        </w:tc>
        <w:tc>
          <w:tcPr>
            <w:tcW w:w="447" w:type="dxa"/>
            <w:shd w:val="clear" w:color="auto" w:fill="D9D9D9" w:themeFill="background1" w:themeFillShade="D9"/>
          </w:tcPr>
          <w:p w14:paraId="55EA4CC8" w14:textId="77777777" w:rsidR="007157A6" w:rsidRPr="007157A6" w:rsidRDefault="007157A6" w:rsidP="007157A6">
            <w:pPr>
              <w:rPr>
                <w:b/>
                <w:lang w:val="en-GB"/>
              </w:rPr>
            </w:pPr>
            <w:r w:rsidRPr="007157A6">
              <w:rPr>
                <w:b/>
                <w:lang w:val="en-GB"/>
              </w:rPr>
              <w:t>1</w:t>
            </w:r>
          </w:p>
        </w:tc>
      </w:tr>
      <w:tr w:rsidR="007157A6" w:rsidRPr="007157A6" w14:paraId="7A9A4C79" w14:textId="77777777" w:rsidTr="00C850ED">
        <w:tc>
          <w:tcPr>
            <w:tcW w:w="8500" w:type="dxa"/>
            <w:vMerge w:val="restart"/>
          </w:tcPr>
          <w:p w14:paraId="799DDC47" w14:textId="77777777" w:rsidR="007157A6" w:rsidRPr="007157A6" w:rsidRDefault="007157A6" w:rsidP="007157A6">
            <w:pPr>
              <w:rPr>
                <w:lang w:val="en-GB"/>
              </w:rPr>
            </w:pPr>
            <w:r w:rsidRPr="007157A6">
              <w:rPr>
                <w:lang w:val="en-GB"/>
              </w:rPr>
              <w:t>Transfer of the work of the Sustainable Finance Committee to a permanent working structure supported by experts from the financial sector and the real economy, civil society and the scientific community. In close cooperation with the sustainable finance coordination office of the Federal Ministry of Finance, this structure ensures that the effectiveness of the adopted measures is evaluated at regular intervals.</w:t>
            </w:r>
          </w:p>
          <w:p w14:paraId="38188714" w14:textId="77777777" w:rsidR="007157A6" w:rsidRPr="007157A6" w:rsidRDefault="007157A6" w:rsidP="007157A6">
            <w:pPr>
              <w:rPr>
                <w:lang w:val="en-GB"/>
              </w:rPr>
            </w:pPr>
          </w:p>
        </w:tc>
        <w:tc>
          <w:tcPr>
            <w:tcW w:w="3544" w:type="dxa"/>
          </w:tcPr>
          <w:p w14:paraId="2002EAB3" w14:textId="77777777" w:rsidR="007157A6" w:rsidRPr="007157A6" w:rsidRDefault="007157A6" w:rsidP="007157A6">
            <w:pPr>
              <w:rPr>
                <w:lang w:val="en-GB"/>
              </w:rPr>
            </w:pPr>
            <w:r w:rsidRPr="007157A6">
              <w:rPr>
                <w:lang w:val="en-GB"/>
              </w:rPr>
              <w:t>Will foster Sustainable Finance in Germany</w:t>
            </w:r>
          </w:p>
        </w:tc>
        <w:tc>
          <w:tcPr>
            <w:tcW w:w="446" w:type="dxa"/>
          </w:tcPr>
          <w:p w14:paraId="2AF2A61A" w14:textId="77777777" w:rsidR="007157A6" w:rsidRPr="007157A6" w:rsidRDefault="007157A6" w:rsidP="007157A6">
            <w:pPr>
              <w:rPr>
                <w:lang w:val="en-GB"/>
              </w:rPr>
            </w:pPr>
          </w:p>
        </w:tc>
        <w:tc>
          <w:tcPr>
            <w:tcW w:w="447" w:type="dxa"/>
          </w:tcPr>
          <w:p w14:paraId="39DAFB74" w14:textId="77777777" w:rsidR="007157A6" w:rsidRPr="007157A6" w:rsidRDefault="007157A6" w:rsidP="007157A6">
            <w:pPr>
              <w:rPr>
                <w:lang w:val="en-GB"/>
              </w:rPr>
            </w:pPr>
          </w:p>
        </w:tc>
        <w:tc>
          <w:tcPr>
            <w:tcW w:w="446" w:type="dxa"/>
          </w:tcPr>
          <w:p w14:paraId="20ED59F9" w14:textId="77777777" w:rsidR="007157A6" w:rsidRPr="007157A6" w:rsidRDefault="007157A6" w:rsidP="007157A6">
            <w:pPr>
              <w:rPr>
                <w:lang w:val="en-GB"/>
              </w:rPr>
            </w:pPr>
          </w:p>
        </w:tc>
        <w:tc>
          <w:tcPr>
            <w:tcW w:w="447" w:type="dxa"/>
          </w:tcPr>
          <w:p w14:paraId="4CA16E36" w14:textId="77777777" w:rsidR="007157A6" w:rsidRPr="007157A6" w:rsidRDefault="007157A6" w:rsidP="007157A6">
            <w:pPr>
              <w:rPr>
                <w:lang w:val="en-GB"/>
              </w:rPr>
            </w:pPr>
          </w:p>
        </w:tc>
        <w:tc>
          <w:tcPr>
            <w:tcW w:w="447" w:type="dxa"/>
          </w:tcPr>
          <w:p w14:paraId="680DF5C4" w14:textId="77777777" w:rsidR="007157A6" w:rsidRPr="007157A6" w:rsidRDefault="007157A6" w:rsidP="007157A6">
            <w:pPr>
              <w:rPr>
                <w:lang w:val="en-GB"/>
              </w:rPr>
            </w:pPr>
          </w:p>
        </w:tc>
      </w:tr>
      <w:tr w:rsidR="007157A6" w:rsidRPr="007157A6" w14:paraId="7FEBC1FF" w14:textId="77777777" w:rsidTr="00C850ED">
        <w:tc>
          <w:tcPr>
            <w:tcW w:w="8500" w:type="dxa"/>
            <w:vMerge/>
          </w:tcPr>
          <w:p w14:paraId="0C74A9DB" w14:textId="77777777" w:rsidR="007157A6" w:rsidRPr="007157A6" w:rsidRDefault="007157A6" w:rsidP="007157A6">
            <w:pPr>
              <w:rPr>
                <w:lang w:val="en-GB"/>
              </w:rPr>
            </w:pPr>
          </w:p>
        </w:tc>
        <w:tc>
          <w:tcPr>
            <w:tcW w:w="3544" w:type="dxa"/>
          </w:tcPr>
          <w:p w14:paraId="72A4FF9C" w14:textId="77777777" w:rsidR="007157A6" w:rsidRPr="007157A6" w:rsidRDefault="007157A6" w:rsidP="007157A6">
            <w:pPr>
              <w:rPr>
                <w:lang w:val="en-GB"/>
              </w:rPr>
            </w:pPr>
            <w:r w:rsidRPr="007157A6">
              <w:rPr>
                <w:lang w:val="en-GB"/>
              </w:rPr>
              <w:t>Level of ambition</w:t>
            </w:r>
          </w:p>
        </w:tc>
        <w:tc>
          <w:tcPr>
            <w:tcW w:w="446" w:type="dxa"/>
          </w:tcPr>
          <w:p w14:paraId="3EEF07B2" w14:textId="77777777" w:rsidR="007157A6" w:rsidRPr="007157A6" w:rsidRDefault="007157A6" w:rsidP="007157A6">
            <w:pPr>
              <w:rPr>
                <w:lang w:val="en-GB"/>
              </w:rPr>
            </w:pPr>
          </w:p>
        </w:tc>
        <w:tc>
          <w:tcPr>
            <w:tcW w:w="447" w:type="dxa"/>
          </w:tcPr>
          <w:p w14:paraId="73071399" w14:textId="77777777" w:rsidR="007157A6" w:rsidRPr="007157A6" w:rsidRDefault="007157A6" w:rsidP="007157A6">
            <w:pPr>
              <w:rPr>
                <w:lang w:val="en-GB"/>
              </w:rPr>
            </w:pPr>
          </w:p>
        </w:tc>
        <w:tc>
          <w:tcPr>
            <w:tcW w:w="446" w:type="dxa"/>
          </w:tcPr>
          <w:p w14:paraId="7187CFE9" w14:textId="77777777" w:rsidR="007157A6" w:rsidRPr="007157A6" w:rsidRDefault="007157A6" w:rsidP="007157A6">
            <w:pPr>
              <w:rPr>
                <w:lang w:val="en-GB"/>
              </w:rPr>
            </w:pPr>
          </w:p>
        </w:tc>
        <w:tc>
          <w:tcPr>
            <w:tcW w:w="447" w:type="dxa"/>
          </w:tcPr>
          <w:p w14:paraId="02401D40" w14:textId="77777777" w:rsidR="007157A6" w:rsidRPr="007157A6" w:rsidRDefault="007157A6" w:rsidP="007157A6">
            <w:pPr>
              <w:rPr>
                <w:lang w:val="en-GB"/>
              </w:rPr>
            </w:pPr>
          </w:p>
        </w:tc>
        <w:tc>
          <w:tcPr>
            <w:tcW w:w="447" w:type="dxa"/>
          </w:tcPr>
          <w:p w14:paraId="70AEE09C" w14:textId="77777777" w:rsidR="007157A6" w:rsidRPr="007157A6" w:rsidRDefault="007157A6" w:rsidP="007157A6">
            <w:pPr>
              <w:rPr>
                <w:lang w:val="en-GB"/>
              </w:rPr>
            </w:pPr>
          </w:p>
        </w:tc>
      </w:tr>
      <w:tr w:rsidR="007157A6" w:rsidRPr="007157A6" w14:paraId="314E54BD" w14:textId="77777777" w:rsidTr="00C850ED">
        <w:tc>
          <w:tcPr>
            <w:tcW w:w="8500" w:type="dxa"/>
            <w:vMerge/>
          </w:tcPr>
          <w:p w14:paraId="127E5830" w14:textId="77777777" w:rsidR="007157A6" w:rsidRPr="007157A6" w:rsidRDefault="007157A6" w:rsidP="007157A6">
            <w:pPr>
              <w:rPr>
                <w:lang w:val="en-GB"/>
              </w:rPr>
            </w:pPr>
          </w:p>
        </w:tc>
        <w:tc>
          <w:tcPr>
            <w:tcW w:w="3544" w:type="dxa"/>
          </w:tcPr>
          <w:p w14:paraId="1409E95B" w14:textId="77777777" w:rsidR="007157A6" w:rsidRPr="007157A6" w:rsidRDefault="007157A6" w:rsidP="007157A6">
            <w:pPr>
              <w:rPr>
                <w:lang w:val="en-GB"/>
              </w:rPr>
            </w:pPr>
            <w:r w:rsidRPr="007157A6">
              <w:rPr>
                <w:lang w:val="en-GB"/>
              </w:rPr>
              <w:t>Practicability</w:t>
            </w:r>
          </w:p>
        </w:tc>
        <w:tc>
          <w:tcPr>
            <w:tcW w:w="446" w:type="dxa"/>
          </w:tcPr>
          <w:p w14:paraId="5B49F936" w14:textId="77777777" w:rsidR="007157A6" w:rsidRPr="007157A6" w:rsidRDefault="007157A6" w:rsidP="007157A6">
            <w:pPr>
              <w:rPr>
                <w:lang w:val="en-GB"/>
              </w:rPr>
            </w:pPr>
          </w:p>
        </w:tc>
        <w:tc>
          <w:tcPr>
            <w:tcW w:w="447" w:type="dxa"/>
          </w:tcPr>
          <w:p w14:paraId="3FEA6C73" w14:textId="77777777" w:rsidR="007157A6" w:rsidRPr="007157A6" w:rsidRDefault="007157A6" w:rsidP="007157A6">
            <w:pPr>
              <w:rPr>
                <w:lang w:val="en-GB"/>
              </w:rPr>
            </w:pPr>
          </w:p>
        </w:tc>
        <w:tc>
          <w:tcPr>
            <w:tcW w:w="446" w:type="dxa"/>
          </w:tcPr>
          <w:p w14:paraId="1F4F5DD5" w14:textId="77777777" w:rsidR="007157A6" w:rsidRPr="007157A6" w:rsidRDefault="007157A6" w:rsidP="007157A6">
            <w:pPr>
              <w:rPr>
                <w:lang w:val="en-GB"/>
              </w:rPr>
            </w:pPr>
          </w:p>
        </w:tc>
        <w:tc>
          <w:tcPr>
            <w:tcW w:w="447" w:type="dxa"/>
          </w:tcPr>
          <w:p w14:paraId="42CF76FE" w14:textId="77777777" w:rsidR="007157A6" w:rsidRPr="007157A6" w:rsidRDefault="007157A6" w:rsidP="007157A6">
            <w:pPr>
              <w:rPr>
                <w:lang w:val="en-GB"/>
              </w:rPr>
            </w:pPr>
          </w:p>
        </w:tc>
        <w:tc>
          <w:tcPr>
            <w:tcW w:w="447" w:type="dxa"/>
          </w:tcPr>
          <w:p w14:paraId="2C14B41C" w14:textId="77777777" w:rsidR="007157A6" w:rsidRPr="007157A6" w:rsidRDefault="007157A6" w:rsidP="007157A6">
            <w:pPr>
              <w:rPr>
                <w:lang w:val="en-GB"/>
              </w:rPr>
            </w:pPr>
          </w:p>
        </w:tc>
      </w:tr>
      <w:tr w:rsidR="007157A6" w:rsidRPr="007157A6" w14:paraId="48D5FFE7" w14:textId="77777777" w:rsidTr="00C850ED">
        <w:tc>
          <w:tcPr>
            <w:tcW w:w="8500" w:type="dxa"/>
            <w:vMerge/>
          </w:tcPr>
          <w:p w14:paraId="2515A3D7" w14:textId="77777777" w:rsidR="007157A6" w:rsidRPr="007157A6" w:rsidRDefault="007157A6" w:rsidP="007157A6">
            <w:pPr>
              <w:rPr>
                <w:lang w:val="en-GB"/>
              </w:rPr>
            </w:pPr>
          </w:p>
        </w:tc>
        <w:tc>
          <w:tcPr>
            <w:tcW w:w="3544" w:type="dxa"/>
          </w:tcPr>
          <w:p w14:paraId="4A3B2607"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5A2EB9DA" w14:textId="77777777" w:rsidR="007157A6" w:rsidRPr="007157A6" w:rsidRDefault="007157A6" w:rsidP="007157A6">
            <w:pPr>
              <w:rPr>
                <w:lang w:val="en-GB"/>
              </w:rPr>
            </w:pPr>
          </w:p>
        </w:tc>
        <w:tc>
          <w:tcPr>
            <w:tcW w:w="447" w:type="dxa"/>
          </w:tcPr>
          <w:p w14:paraId="4D9CBBD5" w14:textId="77777777" w:rsidR="007157A6" w:rsidRPr="007157A6" w:rsidRDefault="007157A6" w:rsidP="007157A6">
            <w:pPr>
              <w:rPr>
                <w:lang w:val="en-GB"/>
              </w:rPr>
            </w:pPr>
          </w:p>
        </w:tc>
        <w:tc>
          <w:tcPr>
            <w:tcW w:w="446" w:type="dxa"/>
          </w:tcPr>
          <w:p w14:paraId="10DEB9D7" w14:textId="77777777" w:rsidR="007157A6" w:rsidRPr="007157A6" w:rsidRDefault="007157A6" w:rsidP="007157A6">
            <w:pPr>
              <w:rPr>
                <w:lang w:val="en-GB"/>
              </w:rPr>
            </w:pPr>
          </w:p>
        </w:tc>
        <w:tc>
          <w:tcPr>
            <w:tcW w:w="447" w:type="dxa"/>
          </w:tcPr>
          <w:p w14:paraId="4B8C3051" w14:textId="77777777" w:rsidR="007157A6" w:rsidRPr="007157A6" w:rsidRDefault="007157A6" w:rsidP="007157A6">
            <w:pPr>
              <w:rPr>
                <w:lang w:val="en-GB"/>
              </w:rPr>
            </w:pPr>
          </w:p>
        </w:tc>
        <w:tc>
          <w:tcPr>
            <w:tcW w:w="447" w:type="dxa"/>
          </w:tcPr>
          <w:p w14:paraId="5C266AA4" w14:textId="77777777" w:rsidR="007157A6" w:rsidRPr="007157A6" w:rsidRDefault="007157A6" w:rsidP="007157A6">
            <w:pPr>
              <w:rPr>
                <w:lang w:val="en-GB"/>
              </w:rPr>
            </w:pPr>
          </w:p>
        </w:tc>
      </w:tr>
    </w:tbl>
    <w:p w14:paraId="54C71117" w14:textId="77777777" w:rsidR="007157A6" w:rsidRPr="007157A6" w:rsidRDefault="007157A6" w:rsidP="007157A6">
      <w:pPr>
        <w:rPr>
          <w:lang w:val="en-GB"/>
        </w:rPr>
      </w:pPr>
    </w:p>
    <w:p w14:paraId="73E786D4" w14:textId="77777777" w:rsidR="007157A6" w:rsidRPr="007157A6" w:rsidRDefault="007157A6" w:rsidP="00C850ED">
      <w:pPr>
        <w:pBdr>
          <w:bottom w:val="single" w:sz="4" w:space="1" w:color="auto"/>
        </w:pBdr>
        <w:rPr>
          <w:b/>
          <w:sz w:val="28"/>
          <w:lang w:val="en-GB"/>
        </w:rPr>
      </w:pPr>
      <w:r w:rsidRPr="007157A6">
        <w:rPr>
          <w:b/>
          <w:sz w:val="28"/>
          <w:lang w:val="en-GB"/>
        </w:rPr>
        <w:t>F</w:t>
      </w:r>
      <w:r w:rsidR="00C850ED">
        <w:rPr>
          <w:b/>
          <w:sz w:val="28"/>
          <w:lang w:val="en-GB"/>
        </w:rPr>
        <w:t xml:space="preserve">low of Information between Companies and the Financial Sector </w:t>
      </w:r>
    </w:p>
    <w:p w14:paraId="142C6D4D"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500"/>
        <w:gridCol w:w="3544"/>
        <w:gridCol w:w="446"/>
        <w:gridCol w:w="447"/>
        <w:gridCol w:w="446"/>
        <w:gridCol w:w="447"/>
        <w:gridCol w:w="447"/>
      </w:tblGrid>
      <w:tr w:rsidR="007157A6" w:rsidRPr="007157A6" w14:paraId="7103909D" w14:textId="77777777" w:rsidTr="00C850ED">
        <w:tc>
          <w:tcPr>
            <w:tcW w:w="8500" w:type="dxa"/>
            <w:shd w:val="clear" w:color="auto" w:fill="D9D9D9" w:themeFill="background1" w:themeFillShade="D9"/>
          </w:tcPr>
          <w:p w14:paraId="0769E73C"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04D8AE7C" w14:textId="77777777" w:rsidR="007157A6" w:rsidRPr="007157A6" w:rsidRDefault="007157A6" w:rsidP="007157A6">
            <w:pPr>
              <w:rPr>
                <w:b/>
                <w:lang w:val="en-GB"/>
              </w:rPr>
            </w:pPr>
            <w:r w:rsidRPr="007157A6">
              <w:rPr>
                <w:b/>
                <w:lang w:val="en-GB"/>
              </w:rPr>
              <w:t>Evaluation category</w:t>
            </w:r>
          </w:p>
        </w:tc>
        <w:tc>
          <w:tcPr>
            <w:tcW w:w="446" w:type="dxa"/>
            <w:shd w:val="clear" w:color="auto" w:fill="D9D9D9" w:themeFill="background1" w:themeFillShade="D9"/>
          </w:tcPr>
          <w:p w14:paraId="07AA7BAE" w14:textId="77777777" w:rsidR="007157A6" w:rsidRPr="007157A6" w:rsidRDefault="007157A6" w:rsidP="007157A6">
            <w:pPr>
              <w:rPr>
                <w:b/>
                <w:lang w:val="en-GB"/>
              </w:rPr>
            </w:pPr>
            <w:r w:rsidRPr="007157A6">
              <w:rPr>
                <w:b/>
                <w:lang w:val="en-GB"/>
              </w:rPr>
              <w:t>5</w:t>
            </w:r>
          </w:p>
        </w:tc>
        <w:tc>
          <w:tcPr>
            <w:tcW w:w="447" w:type="dxa"/>
            <w:shd w:val="clear" w:color="auto" w:fill="D9D9D9" w:themeFill="background1" w:themeFillShade="D9"/>
          </w:tcPr>
          <w:p w14:paraId="32577144" w14:textId="77777777" w:rsidR="007157A6" w:rsidRPr="007157A6" w:rsidRDefault="007157A6" w:rsidP="007157A6">
            <w:pPr>
              <w:rPr>
                <w:b/>
                <w:lang w:val="en-GB"/>
              </w:rPr>
            </w:pPr>
            <w:r w:rsidRPr="007157A6">
              <w:rPr>
                <w:b/>
                <w:lang w:val="en-GB"/>
              </w:rPr>
              <w:t>4</w:t>
            </w:r>
          </w:p>
        </w:tc>
        <w:tc>
          <w:tcPr>
            <w:tcW w:w="446" w:type="dxa"/>
            <w:shd w:val="clear" w:color="auto" w:fill="D9D9D9" w:themeFill="background1" w:themeFillShade="D9"/>
          </w:tcPr>
          <w:p w14:paraId="5FA11A3D" w14:textId="77777777" w:rsidR="007157A6" w:rsidRPr="007157A6" w:rsidRDefault="007157A6" w:rsidP="007157A6">
            <w:pPr>
              <w:rPr>
                <w:b/>
                <w:lang w:val="en-GB"/>
              </w:rPr>
            </w:pPr>
            <w:r w:rsidRPr="007157A6">
              <w:rPr>
                <w:b/>
                <w:lang w:val="en-GB"/>
              </w:rPr>
              <w:t>3</w:t>
            </w:r>
          </w:p>
        </w:tc>
        <w:tc>
          <w:tcPr>
            <w:tcW w:w="447" w:type="dxa"/>
            <w:shd w:val="clear" w:color="auto" w:fill="D9D9D9" w:themeFill="background1" w:themeFillShade="D9"/>
          </w:tcPr>
          <w:p w14:paraId="42787C83" w14:textId="77777777" w:rsidR="007157A6" w:rsidRPr="007157A6" w:rsidRDefault="007157A6" w:rsidP="007157A6">
            <w:pPr>
              <w:rPr>
                <w:b/>
                <w:lang w:val="en-GB"/>
              </w:rPr>
            </w:pPr>
            <w:r w:rsidRPr="007157A6">
              <w:rPr>
                <w:b/>
                <w:lang w:val="en-GB"/>
              </w:rPr>
              <w:t>2</w:t>
            </w:r>
          </w:p>
        </w:tc>
        <w:tc>
          <w:tcPr>
            <w:tcW w:w="447" w:type="dxa"/>
            <w:shd w:val="clear" w:color="auto" w:fill="D9D9D9" w:themeFill="background1" w:themeFillShade="D9"/>
          </w:tcPr>
          <w:p w14:paraId="234D8C14" w14:textId="77777777" w:rsidR="007157A6" w:rsidRPr="007157A6" w:rsidRDefault="007157A6" w:rsidP="007157A6">
            <w:pPr>
              <w:rPr>
                <w:b/>
                <w:lang w:val="en-GB"/>
              </w:rPr>
            </w:pPr>
            <w:r w:rsidRPr="007157A6">
              <w:rPr>
                <w:b/>
                <w:lang w:val="en-GB"/>
              </w:rPr>
              <w:t>1</w:t>
            </w:r>
          </w:p>
        </w:tc>
      </w:tr>
      <w:tr w:rsidR="007157A6" w:rsidRPr="007157A6" w14:paraId="7FEFEAE2" w14:textId="77777777" w:rsidTr="00C850ED">
        <w:tc>
          <w:tcPr>
            <w:tcW w:w="8500" w:type="dxa"/>
            <w:vMerge w:val="restart"/>
          </w:tcPr>
          <w:p w14:paraId="30CFBD77" w14:textId="77777777" w:rsidR="007157A6" w:rsidRPr="007157A6" w:rsidRDefault="007157A6" w:rsidP="007157A6">
            <w:pPr>
              <w:rPr>
                <w:lang w:val="en-GB"/>
              </w:rPr>
            </w:pPr>
            <w:r w:rsidRPr="007157A6">
              <w:rPr>
                <w:lang w:val="en-GB"/>
              </w:rPr>
              <w:t>Expand sustainability-related reporting incrementally to all companies, including unlisted ones and, increasingly, SMEs.</w:t>
            </w:r>
          </w:p>
        </w:tc>
        <w:tc>
          <w:tcPr>
            <w:tcW w:w="3544" w:type="dxa"/>
          </w:tcPr>
          <w:p w14:paraId="2CA43D66" w14:textId="77777777" w:rsidR="007157A6" w:rsidRPr="007157A6" w:rsidRDefault="007157A6" w:rsidP="007157A6">
            <w:pPr>
              <w:rPr>
                <w:lang w:val="en-GB"/>
              </w:rPr>
            </w:pPr>
            <w:r w:rsidRPr="007157A6">
              <w:rPr>
                <w:lang w:val="en-GB"/>
              </w:rPr>
              <w:t>Will foster Sustainable Finance in Germany</w:t>
            </w:r>
          </w:p>
        </w:tc>
        <w:tc>
          <w:tcPr>
            <w:tcW w:w="446" w:type="dxa"/>
          </w:tcPr>
          <w:p w14:paraId="33D42A41" w14:textId="77777777" w:rsidR="007157A6" w:rsidRPr="007157A6" w:rsidRDefault="007157A6" w:rsidP="007157A6">
            <w:pPr>
              <w:rPr>
                <w:lang w:val="en-GB"/>
              </w:rPr>
            </w:pPr>
          </w:p>
        </w:tc>
        <w:tc>
          <w:tcPr>
            <w:tcW w:w="447" w:type="dxa"/>
          </w:tcPr>
          <w:p w14:paraId="6D65BBEE" w14:textId="77777777" w:rsidR="007157A6" w:rsidRPr="007157A6" w:rsidRDefault="007157A6" w:rsidP="007157A6">
            <w:pPr>
              <w:rPr>
                <w:lang w:val="en-GB"/>
              </w:rPr>
            </w:pPr>
          </w:p>
        </w:tc>
        <w:tc>
          <w:tcPr>
            <w:tcW w:w="446" w:type="dxa"/>
          </w:tcPr>
          <w:p w14:paraId="72E77BC4" w14:textId="77777777" w:rsidR="007157A6" w:rsidRPr="007157A6" w:rsidRDefault="007157A6" w:rsidP="007157A6">
            <w:pPr>
              <w:rPr>
                <w:lang w:val="en-GB"/>
              </w:rPr>
            </w:pPr>
          </w:p>
        </w:tc>
        <w:tc>
          <w:tcPr>
            <w:tcW w:w="447" w:type="dxa"/>
          </w:tcPr>
          <w:p w14:paraId="3583F408" w14:textId="77777777" w:rsidR="007157A6" w:rsidRPr="007157A6" w:rsidRDefault="007157A6" w:rsidP="007157A6">
            <w:pPr>
              <w:rPr>
                <w:lang w:val="en-GB"/>
              </w:rPr>
            </w:pPr>
          </w:p>
        </w:tc>
        <w:tc>
          <w:tcPr>
            <w:tcW w:w="447" w:type="dxa"/>
          </w:tcPr>
          <w:p w14:paraId="2235AB0E" w14:textId="77777777" w:rsidR="007157A6" w:rsidRPr="007157A6" w:rsidRDefault="007157A6" w:rsidP="007157A6">
            <w:pPr>
              <w:rPr>
                <w:lang w:val="en-GB"/>
              </w:rPr>
            </w:pPr>
          </w:p>
        </w:tc>
      </w:tr>
      <w:tr w:rsidR="007157A6" w:rsidRPr="007157A6" w14:paraId="479015F6" w14:textId="77777777" w:rsidTr="00C850ED">
        <w:tc>
          <w:tcPr>
            <w:tcW w:w="8500" w:type="dxa"/>
            <w:vMerge/>
          </w:tcPr>
          <w:p w14:paraId="3212E626" w14:textId="77777777" w:rsidR="007157A6" w:rsidRPr="007157A6" w:rsidRDefault="007157A6" w:rsidP="007157A6">
            <w:pPr>
              <w:rPr>
                <w:lang w:val="en-GB"/>
              </w:rPr>
            </w:pPr>
          </w:p>
        </w:tc>
        <w:tc>
          <w:tcPr>
            <w:tcW w:w="3544" w:type="dxa"/>
          </w:tcPr>
          <w:p w14:paraId="1A1417FF" w14:textId="77777777" w:rsidR="007157A6" w:rsidRPr="007157A6" w:rsidRDefault="007157A6" w:rsidP="007157A6">
            <w:pPr>
              <w:rPr>
                <w:lang w:val="en-GB"/>
              </w:rPr>
            </w:pPr>
            <w:r w:rsidRPr="007157A6">
              <w:rPr>
                <w:lang w:val="en-GB"/>
              </w:rPr>
              <w:t>Level of ambition</w:t>
            </w:r>
          </w:p>
        </w:tc>
        <w:tc>
          <w:tcPr>
            <w:tcW w:w="446" w:type="dxa"/>
          </w:tcPr>
          <w:p w14:paraId="0FE96376" w14:textId="77777777" w:rsidR="007157A6" w:rsidRPr="007157A6" w:rsidRDefault="007157A6" w:rsidP="007157A6">
            <w:pPr>
              <w:rPr>
                <w:lang w:val="en-GB"/>
              </w:rPr>
            </w:pPr>
          </w:p>
        </w:tc>
        <w:tc>
          <w:tcPr>
            <w:tcW w:w="447" w:type="dxa"/>
          </w:tcPr>
          <w:p w14:paraId="079966D5" w14:textId="77777777" w:rsidR="007157A6" w:rsidRPr="007157A6" w:rsidRDefault="007157A6" w:rsidP="007157A6">
            <w:pPr>
              <w:rPr>
                <w:lang w:val="en-GB"/>
              </w:rPr>
            </w:pPr>
          </w:p>
        </w:tc>
        <w:tc>
          <w:tcPr>
            <w:tcW w:w="446" w:type="dxa"/>
          </w:tcPr>
          <w:p w14:paraId="230ABF5D" w14:textId="77777777" w:rsidR="007157A6" w:rsidRPr="007157A6" w:rsidRDefault="007157A6" w:rsidP="007157A6">
            <w:pPr>
              <w:rPr>
                <w:lang w:val="en-GB"/>
              </w:rPr>
            </w:pPr>
          </w:p>
        </w:tc>
        <w:tc>
          <w:tcPr>
            <w:tcW w:w="447" w:type="dxa"/>
          </w:tcPr>
          <w:p w14:paraId="6E5C1F49" w14:textId="77777777" w:rsidR="007157A6" w:rsidRPr="007157A6" w:rsidRDefault="007157A6" w:rsidP="007157A6">
            <w:pPr>
              <w:rPr>
                <w:lang w:val="en-GB"/>
              </w:rPr>
            </w:pPr>
          </w:p>
        </w:tc>
        <w:tc>
          <w:tcPr>
            <w:tcW w:w="447" w:type="dxa"/>
          </w:tcPr>
          <w:p w14:paraId="5F291ED1" w14:textId="77777777" w:rsidR="007157A6" w:rsidRPr="007157A6" w:rsidRDefault="007157A6" w:rsidP="007157A6">
            <w:pPr>
              <w:rPr>
                <w:lang w:val="en-GB"/>
              </w:rPr>
            </w:pPr>
          </w:p>
        </w:tc>
      </w:tr>
      <w:tr w:rsidR="007157A6" w:rsidRPr="007157A6" w14:paraId="72C6422A" w14:textId="77777777" w:rsidTr="00C850ED">
        <w:tc>
          <w:tcPr>
            <w:tcW w:w="8500" w:type="dxa"/>
            <w:vMerge/>
          </w:tcPr>
          <w:p w14:paraId="7DA756A1" w14:textId="77777777" w:rsidR="007157A6" w:rsidRPr="007157A6" w:rsidRDefault="007157A6" w:rsidP="007157A6">
            <w:pPr>
              <w:rPr>
                <w:lang w:val="en-GB"/>
              </w:rPr>
            </w:pPr>
          </w:p>
        </w:tc>
        <w:tc>
          <w:tcPr>
            <w:tcW w:w="3544" w:type="dxa"/>
          </w:tcPr>
          <w:p w14:paraId="17B35DA5" w14:textId="77777777" w:rsidR="007157A6" w:rsidRPr="007157A6" w:rsidRDefault="007157A6" w:rsidP="007157A6">
            <w:pPr>
              <w:rPr>
                <w:lang w:val="en-GB"/>
              </w:rPr>
            </w:pPr>
            <w:r w:rsidRPr="007157A6">
              <w:rPr>
                <w:lang w:val="en-GB"/>
              </w:rPr>
              <w:t>Practicability</w:t>
            </w:r>
          </w:p>
        </w:tc>
        <w:tc>
          <w:tcPr>
            <w:tcW w:w="446" w:type="dxa"/>
          </w:tcPr>
          <w:p w14:paraId="571C3FDB" w14:textId="77777777" w:rsidR="007157A6" w:rsidRPr="007157A6" w:rsidRDefault="007157A6" w:rsidP="007157A6">
            <w:pPr>
              <w:rPr>
                <w:lang w:val="en-GB"/>
              </w:rPr>
            </w:pPr>
          </w:p>
        </w:tc>
        <w:tc>
          <w:tcPr>
            <w:tcW w:w="447" w:type="dxa"/>
          </w:tcPr>
          <w:p w14:paraId="71CAA83F" w14:textId="77777777" w:rsidR="007157A6" w:rsidRPr="007157A6" w:rsidRDefault="007157A6" w:rsidP="007157A6">
            <w:pPr>
              <w:rPr>
                <w:lang w:val="en-GB"/>
              </w:rPr>
            </w:pPr>
          </w:p>
        </w:tc>
        <w:tc>
          <w:tcPr>
            <w:tcW w:w="446" w:type="dxa"/>
          </w:tcPr>
          <w:p w14:paraId="06A5641D" w14:textId="77777777" w:rsidR="007157A6" w:rsidRPr="007157A6" w:rsidRDefault="007157A6" w:rsidP="007157A6">
            <w:pPr>
              <w:rPr>
                <w:lang w:val="en-GB"/>
              </w:rPr>
            </w:pPr>
          </w:p>
        </w:tc>
        <w:tc>
          <w:tcPr>
            <w:tcW w:w="447" w:type="dxa"/>
          </w:tcPr>
          <w:p w14:paraId="11FE5D51" w14:textId="77777777" w:rsidR="007157A6" w:rsidRPr="007157A6" w:rsidRDefault="007157A6" w:rsidP="007157A6">
            <w:pPr>
              <w:rPr>
                <w:lang w:val="en-GB"/>
              </w:rPr>
            </w:pPr>
          </w:p>
        </w:tc>
        <w:tc>
          <w:tcPr>
            <w:tcW w:w="447" w:type="dxa"/>
          </w:tcPr>
          <w:p w14:paraId="664EA96A" w14:textId="77777777" w:rsidR="007157A6" w:rsidRPr="007157A6" w:rsidRDefault="007157A6" w:rsidP="007157A6">
            <w:pPr>
              <w:rPr>
                <w:lang w:val="en-GB"/>
              </w:rPr>
            </w:pPr>
          </w:p>
        </w:tc>
      </w:tr>
      <w:tr w:rsidR="007157A6" w:rsidRPr="007157A6" w14:paraId="56AB00D8" w14:textId="77777777" w:rsidTr="00C850ED">
        <w:tc>
          <w:tcPr>
            <w:tcW w:w="8500" w:type="dxa"/>
            <w:vMerge/>
          </w:tcPr>
          <w:p w14:paraId="3AE52C5C" w14:textId="77777777" w:rsidR="007157A6" w:rsidRPr="007157A6" w:rsidRDefault="007157A6" w:rsidP="007157A6">
            <w:pPr>
              <w:rPr>
                <w:lang w:val="en-GB"/>
              </w:rPr>
            </w:pPr>
          </w:p>
        </w:tc>
        <w:tc>
          <w:tcPr>
            <w:tcW w:w="3544" w:type="dxa"/>
          </w:tcPr>
          <w:p w14:paraId="04E39CDE"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2B05A327" w14:textId="77777777" w:rsidR="007157A6" w:rsidRPr="007157A6" w:rsidRDefault="007157A6" w:rsidP="007157A6">
            <w:pPr>
              <w:rPr>
                <w:lang w:val="en-GB"/>
              </w:rPr>
            </w:pPr>
          </w:p>
        </w:tc>
        <w:tc>
          <w:tcPr>
            <w:tcW w:w="447" w:type="dxa"/>
          </w:tcPr>
          <w:p w14:paraId="1250D2FB" w14:textId="77777777" w:rsidR="007157A6" w:rsidRPr="007157A6" w:rsidRDefault="007157A6" w:rsidP="007157A6">
            <w:pPr>
              <w:rPr>
                <w:lang w:val="en-GB"/>
              </w:rPr>
            </w:pPr>
          </w:p>
        </w:tc>
        <w:tc>
          <w:tcPr>
            <w:tcW w:w="446" w:type="dxa"/>
          </w:tcPr>
          <w:p w14:paraId="41BAA96C" w14:textId="77777777" w:rsidR="007157A6" w:rsidRPr="007157A6" w:rsidRDefault="007157A6" w:rsidP="007157A6">
            <w:pPr>
              <w:rPr>
                <w:lang w:val="en-GB"/>
              </w:rPr>
            </w:pPr>
          </w:p>
        </w:tc>
        <w:tc>
          <w:tcPr>
            <w:tcW w:w="447" w:type="dxa"/>
          </w:tcPr>
          <w:p w14:paraId="31025D97" w14:textId="77777777" w:rsidR="007157A6" w:rsidRPr="007157A6" w:rsidRDefault="007157A6" w:rsidP="007157A6">
            <w:pPr>
              <w:rPr>
                <w:lang w:val="en-GB"/>
              </w:rPr>
            </w:pPr>
          </w:p>
        </w:tc>
        <w:tc>
          <w:tcPr>
            <w:tcW w:w="447" w:type="dxa"/>
          </w:tcPr>
          <w:p w14:paraId="42CD3D07" w14:textId="77777777" w:rsidR="007157A6" w:rsidRPr="007157A6" w:rsidRDefault="007157A6" w:rsidP="007157A6">
            <w:pPr>
              <w:rPr>
                <w:lang w:val="en-GB"/>
              </w:rPr>
            </w:pPr>
          </w:p>
        </w:tc>
      </w:tr>
      <w:tr w:rsidR="007157A6" w:rsidRPr="007157A6" w14:paraId="45DFD0A6" w14:textId="77777777" w:rsidTr="00C850ED">
        <w:tc>
          <w:tcPr>
            <w:tcW w:w="8500" w:type="dxa"/>
            <w:shd w:val="clear" w:color="auto" w:fill="D9D9D9" w:themeFill="background1" w:themeFillShade="D9"/>
          </w:tcPr>
          <w:p w14:paraId="794C4D5C"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F40BC07"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717A5140"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7C8BF610"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206BC0B8"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60CD24E3"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390D14B2" w14:textId="77777777" w:rsidR="007157A6" w:rsidRPr="007157A6" w:rsidRDefault="007157A6" w:rsidP="007157A6">
            <w:pPr>
              <w:rPr>
                <w:lang w:val="en-GB"/>
              </w:rPr>
            </w:pPr>
            <w:r w:rsidRPr="007157A6">
              <w:rPr>
                <w:b/>
                <w:lang w:val="en-GB"/>
              </w:rPr>
              <w:t>1</w:t>
            </w:r>
          </w:p>
        </w:tc>
      </w:tr>
      <w:tr w:rsidR="007157A6" w:rsidRPr="007157A6" w14:paraId="6499B689" w14:textId="77777777" w:rsidTr="00C850ED">
        <w:tc>
          <w:tcPr>
            <w:tcW w:w="8500" w:type="dxa"/>
            <w:vMerge w:val="restart"/>
          </w:tcPr>
          <w:p w14:paraId="36543DEE" w14:textId="77777777" w:rsidR="007157A6" w:rsidRPr="007157A6" w:rsidRDefault="007157A6" w:rsidP="007157A6">
            <w:pPr>
              <w:pBdr>
                <w:top w:val="nil"/>
                <w:left w:val="nil"/>
                <w:bottom w:val="nil"/>
                <w:right w:val="nil"/>
                <w:between w:val="nil"/>
                <w:bar w:val="nil"/>
              </w:pBdr>
              <w:spacing w:line="288" w:lineRule="auto"/>
              <w:rPr>
                <w:rFonts w:ascii="Calibri" w:eastAsia="Calibri" w:hAnsi="Calibri" w:cs="Calibri"/>
                <w:lang w:val="en-GB"/>
              </w:rPr>
            </w:pPr>
            <w:r w:rsidRPr="007157A6">
              <w:rPr>
                <w:rFonts w:ascii="Calibri" w:hAnsi="Calibri"/>
                <w:lang w:val="en-GB"/>
              </w:rPr>
              <w:t>Include forward-looking sustainability factors in corporate reporting.</w:t>
            </w:r>
          </w:p>
          <w:p w14:paraId="58D8B431" w14:textId="77777777" w:rsidR="007157A6" w:rsidRPr="007157A6" w:rsidRDefault="007157A6" w:rsidP="007157A6">
            <w:pPr>
              <w:rPr>
                <w:lang w:val="en-GB"/>
              </w:rPr>
            </w:pPr>
          </w:p>
        </w:tc>
        <w:tc>
          <w:tcPr>
            <w:tcW w:w="3544" w:type="dxa"/>
          </w:tcPr>
          <w:p w14:paraId="0C85A8C0" w14:textId="77777777" w:rsidR="007157A6" w:rsidRPr="007157A6" w:rsidRDefault="007157A6" w:rsidP="007157A6">
            <w:pPr>
              <w:rPr>
                <w:lang w:val="en-GB"/>
              </w:rPr>
            </w:pPr>
            <w:r w:rsidRPr="007157A6">
              <w:rPr>
                <w:lang w:val="en-GB"/>
              </w:rPr>
              <w:t>Will foster Sustainable Finance in Germany</w:t>
            </w:r>
          </w:p>
        </w:tc>
        <w:tc>
          <w:tcPr>
            <w:tcW w:w="446" w:type="dxa"/>
          </w:tcPr>
          <w:p w14:paraId="7EA78545" w14:textId="77777777" w:rsidR="007157A6" w:rsidRPr="007157A6" w:rsidRDefault="007157A6" w:rsidP="007157A6">
            <w:pPr>
              <w:rPr>
                <w:lang w:val="en-GB"/>
              </w:rPr>
            </w:pPr>
          </w:p>
        </w:tc>
        <w:tc>
          <w:tcPr>
            <w:tcW w:w="447" w:type="dxa"/>
          </w:tcPr>
          <w:p w14:paraId="7BB098C1" w14:textId="77777777" w:rsidR="007157A6" w:rsidRPr="007157A6" w:rsidRDefault="007157A6" w:rsidP="007157A6">
            <w:pPr>
              <w:rPr>
                <w:lang w:val="en-GB"/>
              </w:rPr>
            </w:pPr>
          </w:p>
        </w:tc>
        <w:tc>
          <w:tcPr>
            <w:tcW w:w="446" w:type="dxa"/>
          </w:tcPr>
          <w:p w14:paraId="40E12B82" w14:textId="77777777" w:rsidR="007157A6" w:rsidRPr="007157A6" w:rsidRDefault="007157A6" w:rsidP="007157A6">
            <w:pPr>
              <w:rPr>
                <w:lang w:val="en-GB"/>
              </w:rPr>
            </w:pPr>
          </w:p>
        </w:tc>
        <w:tc>
          <w:tcPr>
            <w:tcW w:w="447" w:type="dxa"/>
          </w:tcPr>
          <w:p w14:paraId="194EFCC3" w14:textId="77777777" w:rsidR="007157A6" w:rsidRPr="007157A6" w:rsidRDefault="007157A6" w:rsidP="007157A6">
            <w:pPr>
              <w:rPr>
                <w:lang w:val="en-GB"/>
              </w:rPr>
            </w:pPr>
          </w:p>
        </w:tc>
        <w:tc>
          <w:tcPr>
            <w:tcW w:w="447" w:type="dxa"/>
          </w:tcPr>
          <w:p w14:paraId="064372DA" w14:textId="77777777" w:rsidR="007157A6" w:rsidRPr="007157A6" w:rsidRDefault="007157A6" w:rsidP="007157A6">
            <w:pPr>
              <w:rPr>
                <w:lang w:val="en-GB"/>
              </w:rPr>
            </w:pPr>
          </w:p>
        </w:tc>
      </w:tr>
      <w:tr w:rsidR="007157A6" w:rsidRPr="007157A6" w14:paraId="4C742081" w14:textId="77777777" w:rsidTr="00C850ED">
        <w:tc>
          <w:tcPr>
            <w:tcW w:w="8500" w:type="dxa"/>
            <w:vMerge/>
          </w:tcPr>
          <w:p w14:paraId="77FC9F73" w14:textId="77777777" w:rsidR="007157A6" w:rsidRPr="007157A6" w:rsidRDefault="007157A6" w:rsidP="007157A6">
            <w:pPr>
              <w:rPr>
                <w:lang w:val="en-GB"/>
              </w:rPr>
            </w:pPr>
          </w:p>
        </w:tc>
        <w:tc>
          <w:tcPr>
            <w:tcW w:w="3544" w:type="dxa"/>
          </w:tcPr>
          <w:p w14:paraId="317DFE62" w14:textId="77777777" w:rsidR="007157A6" w:rsidRPr="007157A6" w:rsidRDefault="007157A6" w:rsidP="007157A6">
            <w:pPr>
              <w:rPr>
                <w:lang w:val="en-GB"/>
              </w:rPr>
            </w:pPr>
            <w:r w:rsidRPr="007157A6">
              <w:rPr>
                <w:lang w:val="en-GB"/>
              </w:rPr>
              <w:t>Level of ambition</w:t>
            </w:r>
          </w:p>
        </w:tc>
        <w:tc>
          <w:tcPr>
            <w:tcW w:w="446" w:type="dxa"/>
          </w:tcPr>
          <w:p w14:paraId="4994B5F7" w14:textId="77777777" w:rsidR="007157A6" w:rsidRPr="007157A6" w:rsidRDefault="007157A6" w:rsidP="007157A6">
            <w:pPr>
              <w:rPr>
                <w:lang w:val="en-GB"/>
              </w:rPr>
            </w:pPr>
          </w:p>
        </w:tc>
        <w:tc>
          <w:tcPr>
            <w:tcW w:w="447" w:type="dxa"/>
          </w:tcPr>
          <w:p w14:paraId="69159FB1" w14:textId="77777777" w:rsidR="007157A6" w:rsidRPr="007157A6" w:rsidRDefault="007157A6" w:rsidP="007157A6">
            <w:pPr>
              <w:rPr>
                <w:lang w:val="en-GB"/>
              </w:rPr>
            </w:pPr>
          </w:p>
        </w:tc>
        <w:tc>
          <w:tcPr>
            <w:tcW w:w="446" w:type="dxa"/>
          </w:tcPr>
          <w:p w14:paraId="7D9C36C5" w14:textId="77777777" w:rsidR="007157A6" w:rsidRPr="007157A6" w:rsidRDefault="007157A6" w:rsidP="007157A6">
            <w:pPr>
              <w:rPr>
                <w:lang w:val="en-GB"/>
              </w:rPr>
            </w:pPr>
          </w:p>
        </w:tc>
        <w:tc>
          <w:tcPr>
            <w:tcW w:w="447" w:type="dxa"/>
          </w:tcPr>
          <w:p w14:paraId="6CEE0BDD" w14:textId="77777777" w:rsidR="007157A6" w:rsidRPr="007157A6" w:rsidRDefault="007157A6" w:rsidP="007157A6">
            <w:pPr>
              <w:rPr>
                <w:lang w:val="en-GB"/>
              </w:rPr>
            </w:pPr>
          </w:p>
        </w:tc>
        <w:tc>
          <w:tcPr>
            <w:tcW w:w="447" w:type="dxa"/>
          </w:tcPr>
          <w:p w14:paraId="034A177F" w14:textId="77777777" w:rsidR="007157A6" w:rsidRPr="007157A6" w:rsidRDefault="007157A6" w:rsidP="007157A6">
            <w:pPr>
              <w:rPr>
                <w:lang w:val="en-GB"/>
              </w:rPr>
            </w:pPr>
          </w:p>
        </w:tc>
      </w:tr>
      <w:tr w:rsidR="007157A6" w:rsidRPr="007157A6" w14:paraId="7F7F61E4" w14:textId="77777777" w:rsidTr="00C850ED">
        <w:tc>
          <w:tcPr>
            <w:tcW w:w="8500" w:type="dxa"/>
            <w:vMerge/>
          </w:tcPr>
          <w:p w14:paraId="1E0FC5A4" w14:textId="77777777" w:rsidR="007157A6" w:rsidRPr="007157A6" w:rsidRDefault="007157A6" w:rsidP="007157A6">
            <w:pPr>
              <w:rPr>
                <w:lang w:val="en-GB"/>
              </w:rPr>
            </w:pPr>
          </w:p>
        </w:tc>
        <w:tc>
          <w:tcPr>
            <w:tcW w:w="3544" w:type="dxa"/>
          </w:tcPr>
          <w:p w14:paraId="5E1DE7B6" w14:textId="77777777" w:rsidR="007157A6" w:rsidRPr="007157A6" w:rsidRDefault="007157A6" w:rsidP="007157A6">
            <w:pPr>
              <w:rPr>
                <w:lang w:val="en-GB"/>
              </w:rPr>
            </w:pPr>
            <w:r w:rsidRPr="007157A6">
              <w:rPr>
                <w:lang w:val="en-GB"/>
              </w:rPr>
              <w:t>Practicability</w:t>
            </w:r>
          </w:p>
        </w:tc>
        <w:tc>
          <w:tcPr>
            <w:tcW w:w="446" w:type="dxa"/>
          </w:tcPr>
          <w:p w14:paraId="3C4F27BB" w14:textId="77777777" w:rsidR="007157A6" w:rsidRPr="007157A6" w:rsidRDefault="007157A6" w:rsidP="007157A6">
            <w:pPr>
              <w:rPr>
                <w:lang w:val="en-GB"/>
              </w:rPr>
            </w:pPr>
          </w:p>
        </w:tc>
        <w:tc>
          <w:tcPr>
            <w:tcW w:w="447" w:type="dxa"/>
          </w:tcPr>
          <w:p w14:paraId="43B3F904" w14:textId="77777777" w:rsidR="007157A6" w:rsidRPr="007157A6" w:rsidRDefault="007157A6" w:rsidP="007157A6">
            <w:pPr>
              <w:rPr>
                <w:lang w:val="en-GB"/>
              </w:rPr>
            </w:pPr>
          </w:p>
        </w:tc>
        <w:tc>
          <w:tcPr>
            <w:tcW w:w="446" w:type="dxa"/>
          </w:tcPr>
          <w:p w14:paraId="6A64DE40" w14:textId="77777777" w:rsidR="007157A6" w:rsidRPr="007157A6" w:rsidRDefault="007157A6" w:rsidP="007157A6">
            <w:pPr>
              <w:rPr>
                <w:lang w:val="en-GB"/>
              </w:rPr>
            </w:pPr>
          </w:p>
        </w:tc>
        <w:tc>
          <w:tcPr>
            <w:tcW w:w="447" w:type="dxa"/>
          </w:tcPr>
          <w:p w14:paraId="3AAF2840" w14:textId="77777777" w:rsidR="007157A6" w:rsidRPr="007157A6" w:rsidRDefault="007157A6" w:rsidP="007157A6">
            <w:pPr>
              <w:rPr>
                <w:lang w:val="en-GB"/>
              </w:rPr>
            </w:pPr>
          </w:p>
        </w:tc>
        <w:tc>
          <w:tcPr>
            <w:tcW w:w="447" w:type="dxa"/>
          </w:tcPr>
          <w:p w14:paraId="6CA7E169" w14:textId="77777777" w:rsidR="007157A6" w:rsidRPr="007157A6" w:rsidRDefault="007157A6" w:rsidP="007157A6">
            <w:pPr>
              <w:rPr>
                <w:lang w:val="en-GB"/>
              </w:rPr>
            </w:pPr>
          </w:p>
        </w:tc>
      </w:tr>
      <w:tr w:rsidR="007157A6" w:rsidRPr="007157A6" w14:paraId="7AB74F9D" w14:textId="77777777" w:rsidTr="00C850ED">
        <w:tc>
          <w:tcPr>
            <w:tcW w:w="8500" w:type="dxa"/>
            <w:vMerge/>
          </w:tcPr>
          <w:p w14:paraId="54DB65A2" w14:textId="77777777" w:rsidR="007157A6" w:rsidRPr="007157A6" w:rsidRDefault="007157A6" w:rsidP="007157A6">
            <w:pPr>
              <w:rPr>
                <w:lang w:val="en-GB"/>
              </w:rPr>
            </w:pPr>
          </w:p>
        </w:tc>
        <w:tc>
          <w:tcPr>
            <w:tcW w:w="3544" w:type="dxa"/>
          </w:tcPr>
          <w:p w14:paraId="7FD6D0CA"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6F14C686" w14:textId="77777777" w:rsidR="007157A6" w:rsidRPr="007157A6" w:rsidRDefault="007157A6" w:rsidP="007157A6">
            <w:pPr>
              <w:rPr>
                <w:lang w:val="en-GB"/>
              </w:rPr>
            </w:pPr>
          </w:p>
        </w:tc>
        <w:tc>
          <w:tcPr>
            <w:tcW w:w="447" w:type="dxa"/>
          </w:tcPr>
          <w:p w14:paraId="0B10E750" w14:textId="77777777" w:rsidR="007157A6" w:rsidRPr="007157A6" w:rsidRDefault="007157A6" w:rsidP="007157A6">
            <w:pPr>
              <w:rPr>
                <w:lang w:val="en-GB"/>
              </w:rPr>
            </w:pPr>
          </w:p>
        </w:tc>
        <w:tc>
          <w:tcPr>
            <w:tcW w:w="446" w:type="dxa"/>
          </w:tcPr>
          <w:p w14:paraId="22869971" w14:textId="77777777" w:rsidR="007157A6" w:rsidRPr="007157A6" w:rsidRDefault="007157A6" w:rsidP="007157A6">
            <w:pPr>
              <w:rPr>
                <w:lang w:val="en-GB"/>
              </w:rPr>
            </w:pPr>
          </w:p>
        </w:tc>
        <w:tc>
          <w:tcPr>
            <w:tcW w:w="447" w:type="dxa"/>
          </w:tcPr>
          <w:p w14:paraId="20B9526E" w14:textId="77777777" w:rsidR="007157A6" w:rsidRPr="007157A6" w:rsidRDefault="007157A6" w:rsidP="007157A6">
            <w:pPr>
              <w:rPr>
                <w:lang w:val="en-GB"/>
              </w:rPr>
            </w:pPr>
          </w:p>
        </w:tc>
        <w:tc>
          <w:tcPr>
            <w:tcW w:w="447" w:type="dxa"/>
          </w:tcPr>
          <w:p w14:paraId="009BF94B" w14:textId="77777777" w:rsidR="007157A6" w:rsidRPr="007157A6" w:rsidRDefault="007157A6" w:rsidP="007157A6">
            <w:pPr>
              <w:rPr>
                <w:lang w:val="en-GB"/>
              </w:rPr>
            </w:pPr>
          </w:p>
        </w:tc>
      </w:tr>
    </w:tbl>
    <w:p w14:paraId="65764207" w14:textId="77777777" w:rsidR="00C850ED" w:rsidRDefault="00C850ED"/>
    <w:tbl>
      <w:tblPr>
        <w:tblStyle w:val="TableGrid"/>
        <w:tblW w:w="0" w:type="auto"/>
        <w:tblLayout w:type="fixed"/>
        <w:tblLook w:val="04A0" w:firstRow="1" w:lastRow="0" w:firstColumn="1" w:lastColumn="0" w:noHBand="0" w:noVBand="1"/>
      </w:tblPr>
      <w:tblGrid>
        <w:gridCol w:w="8500"/>
        <w:gridCol w:w="3544"/>
        <w:gridCol w:w="446"/>
        <w:gridCol w:w="447"/>
        <w:gridCol w:w="446"/>
        <w:gridCol w:w="447"/>
        <w:gridCol w:w="447"/>
      </w:tblGrid>
      <w:tr w:rsidR="007157A6" w:rsidRPr="007157A6" w14:paraId="78F8EAD7" w14:textId="77777777" w:rsidTr="00C850ED">
        <w:tc>
          <w:tcPr>
            <w:tcW w:w="8500" w:type="dxa"/>
            <w:shd w:val="clear" w:color="auto" w:fill="D9D9D9" w:themeFill="background1" w:themeFillShade="D9"/>
          </w:tcPr>
          <w:p w14:paraId="04D00600" w14:textId="77777777" w:rsidR="007157A6" w:rsidRPr="007157A6" w:rsidRDefault="007157A6" w:rsidP="007157A6">
            <w:pPr>
              <w:rPr>
                <w:lang w:val="en-GB"/>
              </w:rPr>
            </w:pPr>
            <w:r w:rsidRPr="007157A6">
              <w:rPr>
                <w:b/>
                <w:lang w:val="en-GB"/>
              </w:rPr>
              <w:lastRenderedPageBreak/>
              <w:t>Approach to action</w:t>
            </w:r>
          </w:p>
        </w:tc>
        <w:tc>
          <w:tcPr>
            <w:tcW w:w="3544" w:type="dxa"/>
            <w:shd w:val="clear" w:color="auto" w:fill="D9D9D9" w:themeFill="background1" w:themeFillShade="D9"/>
          </w:tcPr>
          <w:p w14:paraId="3B82E05A"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26E5B8EF"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55F4734D"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1DF83FF2"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57B9DAC3"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100A5F5B" w14:textId="77777777" w:rsidR="007157A6" w:rsidRPr="007157A6" w:rsidRDefault="007157A6" w:rsidP="007157A6">
            <w:pPr>
              <w:rPr>
                <w:lang w:val="en-GB"/>
              </w:rPr>
            </w:pPr>
            <w:r w:rsidRPr="007157A6">
              <w:rPr>
                <w:b/>
                <w:lang w:val="en-GB"/>
              </w:rPr>
              <w:t>1</w:t>
            </w:r>
          </w:p>
        </w:tc>
      </w:tr>
      <w:tr w:rsidR="007157A6" w:rsidRPr="007157A6" w14:paraId="49D77307" w14:textId="77777777" w:rsidTr="00C850ED">
        <w:tc>
          <w:tcPr>
            <w:tcW w:w="8500" w:type="dxa"/>
            <w:vMerge w:val="restart"/>
          </w:tcPr>
          <w:p w14:paraId="00563092" w14:textId="77777777" w:rsidR="007157A6" w:rsidRPr="007157A6" w:rsidRDefault="007157A6" w:rsidP="007157A6">
            <w:pPr>
              <w:pBdr>
                <w:top w:val="nil"/>
                <w:left w:val="nil"/>
                <w:bottom w:val="nil"/>
                <w:right w:val="nil"/>
                <w:between w:val="nil"/>
                <w:bar w:val="nil"/>
              </w:pBdr>
              <w:spacing w:line="288" w:lineRule="auto"/>
              <w:rPr>
                <w:rFonts w:ascii="Calibri" w:eastAsia="Calibri" w:hAnsi="Calibri" w:cs="Calibri"/>
                <w:lang w:val="en-GB"/>
              </w:rPr>
            </w:pPr>
            <w:r w:rsidRPr="007157A6">
              <w:rPr>
                <w:rFonts w:ascii="Calibri" w:hAnsi="Calibri"/>
                <w:lang w:val="en-GB"/>
              </w:rPr>
              <w:t>Standardise sustainability-related corporate reporting, with a view to increasing its usability for stress tests.</w:t>
            </w:r>
          </w:p>
          <w:p w14:paraId="05920B43" w14:textId="77777777" w:rsidR="007157A6" w:rsidRPr="007157A6" w:rsidRDefault="007157A6" w:rsidP="007157A6">
            <w:pPr>
              <w:rPr>
                <w:lang w:val="en-GB"/>
              </w:rPr>
            </w:pPr>
          </w:p>
        </w:tc>
        <w:tc>
          <w:tcPr>
            <w:tcW w:w="3544" w:type="dxa"/>
          </w:tcPr>
          <w:p w14:paraId="4EC6C1FD" w14:textId="77777777" w:rsidR="007157A6" w:rsidRPr="007157A6" w:rsidRDefault="007157A6" w:rsidP="007157A6">
            <w:pPr>
              <w:rPr>
                <w:lang w:val="en-GB"/>
              </w:rPr>
            </w:pPr>
            <w:r w:rsidRPr="007157A6">
              <w:rPr>
                <w:lang w:val="en-GB"/>
              </w:rPr>
              <w:t>Will foster Sustainable Finance in Germany</w:t>
            </w:r>
          </w:p>
        </w:tc>
        <w:tc>
          <w:tcPr>
            <w:tcW w:w="446" w:type="dxa"/>
          </w:tcPr>
          <w:p w14:paraId="3A0CD50C" w14:textId="77777777" w:rsidR="007157A6" w:rsidRPr="007157A6" w:rsidRDefault="007157A6" w:rsidP="007157A6">
            <w:pPr>
              <w:rPr>
                <w:lang w:val="en-GB"/>
              </w:rPr>
            </w:pPr>
          </w:p>
        </w:tc>
        <w:tc>
          <w:tcPr>
            <w:tcW w:w="447" w:type="dxa"/>
          </w:tcPr>
          <w:p w14:paraId="195601A8" w14:textId="77777777" w:rsidR="007157A6" w:rsidRPr="007157A6" w:rsidRDefault="007157A6" w:rsidP="007157A6">
            <w:pPr>
              <w:rPr>
                <w:lang w:val="en-GB"/>
              </w:rPr>
            </w:pPr>
          </w:p>
        </w:tc>
        <w:tc>
          <w:tcPr>
            <w:tcW w:w="446" w:type="dxa"/>
          </w:tcPr>
          <w:p w14:paraId="138A4AC6" w14:textId="77777777" w:rsidR="007157A6" w:rsidRPr="007157A6" w:rsidRDefault="007157A6" w:rsidP="007157A6">
            <w:pPr>
              <w:rPr>
                <w:lang w:val="en-GB"/>
              </w:rPr>
            </w:pPr>
          </w:p>
        </w:tc>
        <w:tc>
          <w:tcPr>
            <w:tcW w:w="447" w:type="dxa"/>
          </w:tcPr>
          <w:p w14:paraId="3B633F02" w14:textId="77777777" w:rsidR="007157A6" w:rsidRPr="007157A6" w:rsidRDefault="007157A6" w:rsidP="007157A6">
            <w:pPr>
              <w:rPr>
                <w:lang w:val="en-GB"/>
              </w:rPr>
            </w:pPr>
          </w:p>
        </w:tc>
        <w:tc>
          <w:tcPr>
            <w:tcW w:w="447" w:type="dxa"/>
          </w:tcPr>
          <w:p w14:paraId="69750897" w14:textId="77777777" w:rsidR="007157A6" w:rsidRPr="007157A6" w:rsidRDefault="007157A6" w:rsidP="007157A6">
            <w:pPr>
              <w:rPr>
                <w:lang w:val="en-GB"/>
              </w:rPr>
            </w:pPr>
          </w:p>
        </w:tc>
      </w:tr>
      <w:tr w:rsidR="007157A6" w:rsidRPr="007157A6" w14:paraId="36C3B64C" w14:textId="77777777" w:rsidTr="00C850ED">
        <w:tc>
          <w:tcPr>
            <w:tcW w:w="8500" w:type="dxa"/>
            <w:vMerge/>
          </w:tcPr>
          <w:p w14:paraId="6964BC24" w14:textId="77777777" w:rsidR="007157A6" w:rsidRPr="007157A6" w:rsidRDefault="007157A6" w:rsidP="007157A6">
            <w:pPr>
              <w:rPr>
                <w:lang w:val="en-GB"/>
              </w:rPr>
            </w:pPr>
          </w:p>
        </w:tc>
        <w:tc>
          <w:tcPr>
            <w:tcW w:w="3544" w:type="dxa"/>
          </w:tcPr>
          <w:p w14:paraId="5892A0CC" w14:textId="77777777" w:rsidR="007157A6" w:rsidRPr="007157A6" w:rsidRDefault="007157A6" w:rsidP="007157A6">
            <w:pPr>
              <w:rPr>
                <w:lang w:val="en-GB"/>
              </w:rPr>
            </w:pPr>
            <w:r w:rsidRPr="007157A6">
              <w:rPr>
                <w:lang w:val="en-GB"/>
              </w:rPr>
              <w:t>Level of ambition</w:t>
            </w:r>
          </w:p>
        </w:tc>
        <w:tc>
          <w:tcPr>
            <w:tcW w:w="446" w:type="dxa"/>
          </w:tcPr>
          <w:p w14:paraId="0C2F8549" w14:textId="77777777" w:rsidR="007157A6" w:rsidRPr="007157A6" w:rsidRDefault="007157A6" w:rsidP="007157A6">
            <w:pPr>
              <w:rPr>
                <w:lang w:val="en-GB"/>
              </w:rPr>
            </w:pPr>
          </w:p>
        </w:tc>
        <w:tc>
          <w:tcPr>
            <w:tcW w:w="447" w:type="dxa"/>
          </w:tcPr>
          <w:p w14:paraId="1618E676" w14:textId="77777777" w:rsidR="007157A6" w:rsidRPr="007157A6" w:rsidRDefault="007157A6" w:rsidP="007157A6">
            <w:pPr>
              <w:rPr>
                <w:lang w:val="en-GB"/>
              </w:rPr>
            </w:pPr>
          </w:p>
        </w:tc>
        <w:tc>
          <w:tcPr>
            <w:tcW w:w="446" w:type="dxa"/>
          </w:tcPr>
          <w:p w14:paraId="544E0566" w14:textId="77777777" w:rsidR="007157A6" w:rsidRPr="007157A6" w:rsidRDefault="007157A6" w:rsidP="007157A6">
            <w:pPr>
              <w:rPr>
                <w:lang w:val="en-GB"/>
              </w:rPr>
            </w:pPr>
          </w:p>
        </w:tc>
        <w:tc>
          <w:tcPr>
            <w:tcW w:w="447" w:type="dxa"/>
          </w:tcPr>
          <w:p w14:paraId="5031ED4D" w14:textId="77777777" w:rsidR="007157A6" w:rsidRPr="007157A6" w:rsidRDefault="007157A6" w:rsidP="007157A6">
            <w:pPr>
              <w:rPr>
                <w:lang w:val="en-GB"/>
              </w:rPr>
            </w:pPr>
          </w:p>
        </w:tc>
        <w:tc>
          <w:tcPr>
            <w:tcW w:w="447" w:type="dxa"/>
          </w:tcPr>
          <w:p w14:paraId="2669753F" w14:textId="77777777" w:rsidR="007157A6" w:rsidRPr="007157A6" w:rsidRDefault="007157A6" w:rsidP="007157A6">
            <w:pPr>
              <w:rPr>
                <w:lang w:val="en-GB"/>
              </w:rPr>
            </w:pPr>
          </w:p>
        </w:tc>
      </w:tr>
      <w:tr w:rsidR="007157A6" w:rsidRPr="007157A6" w14:paraId="34F41A39" w14:textId="77777777" w:rsidTr="00C850ED">
        <w:tc>
          <w:tcPr>
            <w:tcW w:w="8500" w:type="dxa"/>
            <w:vMerge/>
          </w:tcPr>
          <w:p w14:paraId="0D35553C" w14:textId="77777777" w:rsidR="007157A6" w:rsidRPr="007157A6" w:rsidRDefault="007157A6" w:rsidP="007157A6">
            <w:pPr>
              <w:rPr>
                <w:lang w:val="en-GB"/>
              </w:rPr>
            </w:pPr>
          </w:p>
        </w:tc>
        <w:tc>
          <w:tcPr>
            <w:tcW w:w="3544" w:type="dxa"/>
          </w:tcPr>
          <w:p w14:paraId="5213872F" w14:textId="77777777" w:rsidR="007157A6" w:rsidRPr="007157A6" w:rsidRDefault="007157A6" w:rsidP="007157A6">
            <w:pPr>
              <w:rPr>
                <w:lang w:val="en-GB"/>
              </w:rPr>
            </w:pPr>
            <w:r w:rsidRPr="007157A6">
              <w:rPr>
                <w:lang w:val="en-GB"/>
              </w:rPr>
              <w:t>Practicability</w:t>
            </w:r>
          </w:p>
        </w:tc>
        <w:tc>
          <w:tcPr>
            <w:tcW w:w="446" w:type="dxa"/>
          </w:tcPr>
          <w:p w14:paraId="5235EC3E" w14:textId="77777777" w:rsidR="007157A6" w:rsidRPr="007157A6" w:rsidRDefault="007157A6" w:rsidP="007157A6">
            <w:pPr>
              <w:rPr>
                <w:lang w:val="en-GB"/>
              </w:rPr>
            </w:pPr>
          </w:p>
        </w:tc>
        <w:tc>
          <w:tcPr>
            <w:tcW w:w="447" w:type="dxa"/>
          </w:tcPr>
          <w:p w14:paraId="79B4DC03" w14:textId="77777777" w:rsidR="007157A6" w:rsidRPr="007157A6" w:rsidRDefault="007157A6" w:rsidP="007157A6">
            <w:pPr>
              <w:rPr>
                <w:lang w:val="en-GB"/>
              </w:rPr>
            </w:pPr>
          </w:p>
        </w:tc>
        <w:tc>
          <w:tcPr>
            <w:tcW w:w="446" w:type="dxa"/>
          </w:tcPr>
          <w:p w14:paraId="2A6968F6" w14:textId="77777777" w:rsidR="007157A6" w:rsidRPr="007157A6" w:rsidRDefault="007157A6" w:rsidP="007157A6">
            <w:pPr>
              <w:rPr>
                <w:lang w:val="en-GB"/>
              </w:rPr>
            </w:pPr>
          </w:p>
        </w:tc>
        <w:tc>
          <w:tcPr>
            <w:tcW w:w="447" w:type="dxa"/>
          </w:tcPr>
          <w:p w14:paraId="28EC613D" w14:textId="77777777" w:rsidR="007157A6" w:rsidRPr="007157A6" w:rsidRDefault="007157A6" w:rsidP="007157A6">
            <w:pPr>
              <w:rPr>
                <w:lang w:val="en-GB"/>
              </w:rPr>
            </w:pPr>
          </w:p>
        </w:tc>
        <w:tc>
          <w:tcPr>
            <w:tcW w:w="447" w:type="dxa"/>
          </w:tcPr>
          <w:p w14:paraId="0F5B19A9" w14:textId="77777777" w:rsidR="007157A6" w:rsidRPr="007157A6" w:rsidRDefault="007157A6" w:rsidP="007157A6">
            <w:pPr>
              <w:rPr>
                <w:lang w:val="en-GB"/>
              </w:rPr>
            </w:pPr>
          </w:p>
        </w:tc>
      </w:tr>
      <w:tr w:rsidR="007157A6" w:rsidRPr="007157A6" w14:paraId="4CA293FD" w14:textId="77777777" w:rsidTr="00C850ED">
        <w:tc>
          <w:tcPr>
            <w:tcW w:w="8500" w:type="dxa"/>
            <w:vMerge/>
          </w:tcPr>
          <w:p w14:paraId="139ECE88" w14:textId="77777777" w:rsidR="007157A6" w:rsidRPr="007157A6" w:rsidRDefault="007157A6" w:rsidP="007157A6">
            <w:pPr>
              <w:rPr>
                <w:lang w:val="en-GB"/>
              </w:rPr>
            </w:pPr>
          </w:p>
        </w:tc>
        <w:tc>
          <w:tcPr>
            <w:tcW w:w="3544" w:type="dxa"/>
          </w:tcPr>
          <w:p w14:paraId="4E65F85E"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38F61A7F" w14:textId="77777777" w:rsidR="007157A6" w:rsidRPr="007157A6" w:rsidRDefault="007157A6" w:rsidP="007157A6">
            <w:pPr>
              <w:rPr>
                <w:lang w:val="en-GB"/>
              </w:rPr>
            </w:pPr>
          </w:p>
        </w:tc>
        <w:tc>
          <w:tcPr>
            <w:tcW w:w="447" w:type="dxa"/>
          </w:tcPr>
          <w:p w14:paraId="546346A3" w14:textId="77777777" w:rsidR="007157A6" w:rsidRPr="007157A6" w:rsidRDefault="007157A6" w:rsidP="007157A6">
            <w:pPr>
              <w:rPr>
                <w:lang w:val="en-GB"/>
              </w:rPr>
            </w:pPr>
          </w:p>
        </w:tc>
        <w:tc>
          <w:tcPr>
            <w:tcW w:w="446" w:type="dxa"/>
          </w:tcPr>
          <w:p w14:paraId="7F99C682" w14:textId="77777777" w:rsidR="007157A6" w:rsidRPr="007157A6" w:rsidRDefault="007157A6" w:rsidP="007157A6">
            <w:pPr>
              <w:rPr>
                <w:lang w:val="en-GB"/>
              </w:rPr>
            </w:pPr>
          </w:p>
        </w:tc>
        <w:tc>
          <w:tcPr>
            <w:tcW w:w="447" w:type="dxa"/>
          </w:tcPr>
          <w:p w14:paraId="49616DA0" w14:textId="77777777" w:rsidR="007157A6" w:rsidRPr="007157A6" w:rsidRDefault="007157A6" w:rsidP="007157A6">
            <w:pPr>
              <w:rPr>
                <w:lang w:val="en-GB"/>
              </w:rPr>
            </w:pPr>
          </w:p>
        </w:tc>
        <w:tc>
          <w:tcPr>
            <w:tcW w:w="447" w:type="dxa"/>
          </w:tcPr>
          <w:p w14:paraId="39B76B77" w14:textId="77777777" w:rsidR="007157A6" w:rsidRPr="007157A6" w:rsidRDefault="007157A6" w:rsidP="007157A6">
            <w:pPr>
              <w:rPr>
                <w:lang w:val="en-GB"/>
              </w:rPr>
            </w:pPr>
          </w:p>
        </w:tc>
      </w:tr>
      <w:tr w:rsidR="007157A6" w:rsidRPr="007157A6" w14:paraId="5F1237C6" w14:textId="77777777" w:rsidTr="00C850ED">
        <w:tc>
          <w:tcPr>
            <w:tcW w:w="8500" w:type="dxa"/>
            <w:shd w:val="clear" w:color="auto" w:fill="D9D9D9" w:themeFill="background1" w:themeFillShade="D9"/>
          </w:tcPr>
          <w:p w14:paraId="14142FFF"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6582105E" w14:textId="77777777" w:rsidR="007157A6" w:rsidRPr="007157A6" w:rsidRDefault="007157A6" w:rsidP="007157A6">
            <w:pPr>
              <w:rPr>
                <w:b/>
                <w:lang w:val="en-GB"/>
              </w:rPr>
            </w:pPr>
            <w:r w:rsidRPr="007157A6">
              <w:rPr>
                <w:b/>
                <w:lang w:val="en-GB"/>
              </w:rPr>
              <w:t>Evaluation category</w:t>
            </w:r>
          </w:p>
        </w:tc>
        <w:tc>
          <w:tcPr>
            <w:tcW w:w="446" w:type="dxa"/>
            <w:shd w:val="clear" w:color="auto" w:fill="D9D9D9" w:themeFill="background1" w:themeFillShade="D9"/>
          </w:tcPr>
          <w:p w14:paraId="49BAD1F8" w14:textId="77777777" w:rsidR="007157A6" w:rsidRPr="007157A6" w:rsidRDefault="007157A6" w:rsidP="007157A6">
            <w:pPr>
              <w:rPr>
                <w:b/>
                <w:lang w:val="en-GB"/>
              </w:rPr>
            </w:pPr>
            <w:r w:rsidRPr="007157A6">
              <w:rPr>
                <w:b/>
                <w:lang w:val="en-GB"/>
              </w:rPr>
              <w:t>5</w:t>
            </w:r>
          </w:p>
        </w:tc>
        <w:tc>
          <w:tcPr>
            <w:tcW w:w="447" w:type="dxa"/>
            <w:shd w:val="clear" w:color="auto" w:fill="D9D9D9" w:themeFill="background1" w:themeFillShade="D9"/>
          </w:tcPr>
          <w:p w14:paraId="1F15FF8C" w14:textId="77777777" w:rsidR="007157A6" w:rsidRPr="007157A6" w:rsidRDefault="007157A6" w:rsidP="007157A6">
            <w:pPr>
              <w:rPr>
                <w:b/>
                <w:lang w:val="en-GB"/>
              </w:rPr>
            </w:pPr>
            <w:r w:rsidRPr="007157A6">
              <w:rPr>
                <w:b/>
                <w:lang w:val="en-GB"/>
              </w:rPr>
              <w:t>4</w:t>
            </w:r>
          </w:p>
        </w:tc>
        <w:tc>
          <w:tcPr>
            <w:tcW w:w="446" w:type="dxa"/>
            <w:shd w:val="clear" w:color="auto" w:fill="D9D9D9" w:themeFill="background1" w:themeFillShade="D9"/>
          </w:tcPr>
          <w:p w14:paraId="29F95947" w14:textId="77777777" w:rsidR="007157A6" w:rsidRPr="007157A6" w:rsidRDefault="007157A6" w:rsidP="007157A6">
            <w:pPr>
              <w:rPr>
                <w:b/>
                <w:lang w:val="en-GB"/>
              </w:rPr>
            </w:pPr>
            <w:r w:rsidRPr="007157A6">
              <w:rPr>
                <w:b/>
                <w:lang w:val="en-GB"/>
              </w:rPr>
              <w:t>3</w:t>
            </w:r>
          </w:p>
        </w:tc>
        <w:tc>
          <w:tcPr>
            <w:tcW w:w="447" w:type="dxa"/>
            <w:shd w:val="clear" w:color="auto" w:fill="D9D9D9" w:themeFill="background1" w:themeFillShade="D9"/>
          </w:tcPr>
          <w:p w14:paraId="5DE2D434" w14:textId="77777777" w:rsidR="007157A6" w:rsidRPr="007157A6" w:rsidRDefault="007157A6" w:rsidP="007157A6">
            <w:pPr>
              <w:rPr>
                <w:b/>
                <w:lang w:val="en-GB"/>
              </w:rPr>
            </w:pPr>
            <w:r w:rsidRPr="007157A6">
              <w:rPr>
                <w:b/>
                <w:lang w:val="en-GB"/>
              </w:rPr>
              <w:t>2</w:t>
            </w:r>
          </w:p>
        </w:tc>
        <w:tc>
          <w:tcPr>
            <w:tcW w:w="447" w:type="dxa"/>
            <w:shd w:val="clear" w:color="auto" w:fill="D9D9D9" w:themeFill="background1" w:themeFillShade="D9"/>
          </w:tcPr>
          <w:p w14:paraId="61F3BFCE" w14:textId="77777777" w:rsidR="007157A6" w:rsidRPr="007157A6" w:rsidRDefault="007157A6" w:rsidP="007157A6">
            <w:pPr>
              <w:rPr>
                <w:b/>
                <w:lang w:val="en-GB"/>
              </w:rPr>
            </w:pPr>
            <w:r w:rsidRPr="007157A6">
              <w:rPr>
                <w:b/>
                <w:lang w:val="en-GB"/>
              </w:rPr>
              <w:t>1</w:t>
            </w:r>
          </w:p>
        </w:tc>
      </w:tr>
      <w:tr w:rsidR="007157A6" w:rsidRPr="007157A6" w14:paraId="4201C269" w14:textId="77777777" w:rsidTr="00C850ED">
        <w:tc>
          <w:tcPr>
            <w:tcW w:w="8500" w:type="dxa"/>
            <w:vMerge w:val="restart"/>
          </w:tcPr>
          <w:p w14:paraId="58F27D05" w14:textId="77777777" w:rsidR="007157A6" w:rsidRPr="007157A6" w:rsidRDefault="007157A6" w:rsidP="007157A6">
            <w:pPr>
              <w:rPr>
                <w:lang w:val="en-GB"/>
              </w:rPr>
            </w:pPr>
            <w:r w:rsidRPr="007157A6">
              <w:rPr>
                <w:lang w:val="en-GB"/>
              </w:rPr>
              <w:t>Simplify access to companies’ raw sustainability data.</w:t>
            </w:r>
          </w:p>
        </w:tc>
        <w:tc>
          <w:tcPr>
            <w:tcW w:w="3544" w:type="dxa"/>
          </w:tcPr>
          <w:p w14:paraId="69B31DB4" w14:textId="77777777" w:rsidR="007157A6" w:rsidRPr="007157A6" w:rsidRDefault="007157A6" w:rsidP="007157A6">
            <w:pPr>
              <w:rPr>
                <w:lang w:val="en-GB"/>
              </w:rPr>
            </w:pPr>
            <w:r w:rsidRPr="007157A6">
              <w:rPr>
                <w:lang w:val="en-GB"/>
              </w:rPr>
              <w:t>Will foster Sustainable Finance in Germany</w:t>
            </w:r>
          </w:p>
        </w:tc>
        <w:tc>
          <w:tcPr>
            <w:tcW w:w="446" w:type="dxa"/>
          </w:tcPr>
          <w:p w14:paraId="17876A05" w14:textId="77777777" w:rsidR="007157A6" w:rsidRPr="007157A6" w:rsidRDefault="007157A6" w:rsidP="007157A6">
            <w:pPr>
              <w:rPr>
                <w:lang w:val="en-GB"/>
              </w:rPr>
            </w:pPr>
          </w:p>
        </w:tc>
        <w:tc>
          <w:tcPr>
            <w:tcW w:w="447" w:type="dxa"/>
          </w:tcPr>
          <w:p w14:paraId="40FAFD4F" w14:textId="77777777" w:rsidR="007157A6" w:rsidRPr="007157A6" w:rsidRDefault="007157A6" w:rsidP="007157A6">
            <w:pPr>
              <w:rPr>
                <w:lang w:val="en-GB"/>
              </w:rPr>
            </w:pPr>
          </w:p>
        </w:tc>
        <w:tc>
          <w:tcPr>
            <w:tcW w:w="446" w:type="dxa"/>
          </w:tcPr>
          <w:p w14:paraId="77D4A214" w14:textId="77777777" w:rsidR="007157A6" w:rsidRPr="007157A6" w:rsidRDefault="007157A6" w:rsidP="007157A6">
            <w:pPr>
              <w:rPr>
                <w:lang w:val="en-GB"/>
              </w:rPr>
            </w:pPr>
          </w:p>
        </w:tc>
        <w:tc>
          <w:tcPr>
            <w:tcW w:w="447" w:type="dxa"/>
          </w:tcPr>
          <w:p w14:paraId="335AC610" w14:textId="77777777" w:rsidR="007157A6" w:rsidRPr="007157A6" w:rsidRDefault="007157A6" w:rsidP="007157A6">
            <w:pPr>
              <w:rPr>
                <w:lang w:val="en-GB"/>
              </w:rPr>
            </w:pPr>
          </w:p>
        </w:tc>
        <w:tc>
          <w:tcPr>
            <w:tcW w:w="447" w:type="dxa"/>
          </w:tcPr>
          <w:p w14:paraId="3C6D23C3" w14:textId="77777777" w:rsidR="007157A6" w:rsidRPr="007157A6" w:rsidRDefault="007157A6" w:rsidP="007157A6">
            <w:pPr>
              <w:rPr>
                <w:lang w:val="en-GB"/>
              </w:rPr>
            </w:pPr>
          </w:p>
        </w:tc>
      </w:tr>
      <w:tr w:rsidR="007157A6" w:rsidRPr="007157A6" w14:paraId="67A05876" w14:textId="77777777" w:rsidTr="00C850ED">
        <w:tc>
          <w:tcPr>
            <w:tcW w:w="8500" w:type="dxa"/>
            <w:vMerge/>
          </w:tcPr>
          <w:p w14:paraId="588C166D" w14:textId="77777777" w:rsidR="007157A6" w:rsidRPr="007157A6" w:rsidRDefault="007157A6" w:rsidP="007157A6">
            <w:pPr>
              <w:rPr>
                <w:lang w:val="en-GB"/>
              </w:rPr>
            </w:pPr>
          </w:p>
        </w:tc>
        <w:tc>
          <w:tcPr>
            <w:tcW w:w="3544" w:type="dxa"/>
          </w:tcPr>
          <w:p w14:paraId="11453D1A" w14:textId="77777777" w:rsidR="007157A6" w:rsidRPr="007157A6" w:rsidRDefault="007157A6" w:rsidP="007157A6">
            <w:pPr>
              <w:rPr>
                <w:lang w:val="en-GB"/>
              </w:rPr>
            </w:pPr>
            <w:r w:rsidRPr="007157A6">
              <w:rPr>
                <w:lang w:val="en-GB"/>
              </w:rPr>
              <w:t>Level of ambition</w:t>
            </w:r>
          </w:p>
        </w:tc>
        <w:tc>
          <w:tcPr>
            <w:tcW w:w="446" w:type="dxa"/>
          </w:tcPr>
          <w:p w14:paraId="2845B855" w14:textId="77777777" w:rsidR="007157A6" w:rsidRPr="007157A6" w:rsidRDefault="007157A6" w:rsidP="007157A6">
            <w:pPr>
              <w:rPr>
                <w:lang w:val="en-GB"/>
              </w:rPr>
            </w:pPr>
          </w:p>
        </w:tc>
        <w:tc>
          <w:tcPr>
            <w:tcW w:w="447" w:type="dxa"/>
          </w:tcPr>
          <w:p w14:paraId="15BD5CF6" w14:textId="77777777" w:rsidR="007157A6" w:rsidRPr="007157A6" w:rsidRDefault="007157A6" w:rsidP="007157A6">
            <w:pPr>
              <w:rPr>
                <w:lang w:val="en-GB"/>
              </w:rPr>
            </w:pPr>
          </w:p>
        </w:tc>
        <w:tc>
          <w:tcPr>
            <w:tcW w:w="446" w:type="dxa"/>
          </w:tcPr>
          <w:p w14:paraId="1CA4192B" w14:textId="77777777" w:rsidR="007157A6" w:rsidRPr="007157A6" w:rsidRDefault="007157A6" w:rsidP="007157A6">
            <w:pPr>
              <w:rPr>
                <w:lang w:val="en-GB"/>
              </w:rPr>
            </w:pPr>
          </w:p>
        </w:tc>
        <w:tc>
          <w:tcPr>
            <w:tcW w:w="447" w:type="dxa"/>
          </w:tcPr>
          <w:p w14:paraId="5E664B41" w14:textId="77777777" w:rsidR="007157A6" w:rsidRPr="007157A6" w:rsidRDefault="007157A6" w:rsidP="007157A6">
            <w:pPr>
              <w:rPr>
                <w:lang w:val="en-GB"/>
              </w:rPr>
            </w:pPr>
          </w:p>
        </w:tc>
        <w:tc>
          <w:tcPr>
            <w:tcW w:w="447" w:type="dxa"/>
          </w:tcPr>
          <w:p w14:paraId="1561E524" w14:textId="77777777" w:rsidR="007157A6" w:rsidRPr="007157A6" w:rsidRDefault="007157A6" w:rsidP="007157A6">
            <w:pPr>
              <w:rPr>
                <w:lang w:val="en-GB"/>
              </w:rPr>
            </w:pPr>
          </w:p>
        </w:tc>
      </w:tr>
      <w:tr w:rsidR="007157A6" w:rsidRPr="007157A6" w14:paraId="131618E8" w14:textId="77777777" w:rsidTr="00C850ED">
        <w:tc>
          <w:tcPr>
            <w:tcW w:w="8500" w:type="dxa"/>
            <w:vMerge/>
          </w:tcPr>
          <w:p w14:paraId="0D6EA486" w14:textId="77777777" w:rsidR="007157A6" w:rsidRPr="007157A6" w:rsidRDefault="007157A6" w:rsidP="007157A6">
            <w:pPr>
              <w:rPr>
                <w:lang w:val="en-GB"/>
              </w:rPr>
            </w:pPr>
          </w:p>
        </w:tc>
        <w:tc>
          <w:tcPr>
            <w:tcW w:w="3544" w:type="dxa"/>
          </w:tcPr>
          <w:p w14:paraId="68AA739B" w14:textId="77777777" w:rsidR="007157A6" w:rsidRPr="007157A6" w:rsidRDefault="007157A6" w:rsidP="007157A6">
            <w:pPr>
              <w:rPr>
                <w:lang w:val="en-GB"/>
              </w:rPr>
            </w:pPr>
            <w:r w:rsidRPr="007157A6">
              <w:rPr>
                <w:lang w:val="en-GB"/>
              </w:rPr>
              <w:t>Practicability</w:t>
            </w:r>
          </w:p>
        </w:tc>
        <w:tc>
          <w:tcPr>
            <w:tcW w:w="446" w:type="dxa"/>
          </w:tcPr>
          <w:p w14:paraId="6E21F3B9" w14:textId="77777777" w:rsidR="007157A6" w:rsidRPr="007157A6" w:rsidRDefault="007157A6" w:rsidP="007157A6">
            <w:pPr>
              <w:rPr>
                <w:lang w:val="en-GB"/>
              </w:rPr>
            </w:pPr>
          </w:p>
        </w:tc>
        <w:tc>
          <w:tcPr>
            <w:tcW w:w="447" w:type="dxa"/>
          </w:tcPr>
          <w:p w14:paraId="278FE80F" w14:textId="77777777" w:rsidR="007157A6" w:rsidRPr="007157A6" w:rsidRDefault="007157A6" w:rsidP="007157A6">
            <w:pPr>
              <w:rPr>
                <w:lang w:val="en-GB"/>
              </w:rPr>
            </w:pPr>
          </w:p>
        </w:tc>
        <w:tc>
          <w:tcPr>
            <w:tcW w:w="446" w:type="dxa"/>
          </w:tcPr>
          <w:p w14:paraId="56C657FF" w14:textId="77777777" w:rsidR="007157A6" w:rsidRPr="007157A6" w:rsidRDefault="007157A6" w:rsidP="007157A6">
            <w:pPr>
              <w:rPr>
                <w:lang w:val="en-GB"/>
              </w:rPr>
            </w:pPr>
          </w:p>
        </w:tc>
        <w:tc>
          <w:tcPr>
            <w:tcW w:w="447" w:type="dxa"/>
          </w:tcPr>
          <w:p w14:paraId="122AB598" w14:textId="77777777" w:rsidR="007157A6" w:rsidRPr="007157A6" w:rsidRDefault="007157A6" w:rsidP="007157A6">
            <w:pPr>
              <w:rPr>
                <w:lang w:val="en-GB"/>
              </w:rPr>
            </w:pPr>
          </w:p>
        </w:tc>
        <w:tc>
          <w:tcPr>
            <w:tcW w:w="447" w:type="dxa"/>
          </w:tcPr>
          <w:p w14:paraId="0B854789" w14:textId="77777777" w:rsidR="007157A6" w:rsidRPr="007157A6" w:rsidRDefault="007157A6" w:rsidP="007157A6">
            <w:pPr>
              <w:rPr>
                <w:lang w:val="en-GB"/>
              </w:rPr>
            </w:pPr>
          </w:p>
        </w:tc>
      </w:tr>
      <w:tr w:rsidR="007157A6" w:rsidRPr="007157A6" w14:paraId="036C5DB5" w14:textId="77777777" w:rsidTr="00C850ED">
        <w:tc>
          <w:tcPr>
            <w:tcW w:w="8500" w:type="dxa"/>
            <w:vMerge/>
          </w:tcPr>
          <w:p w14:paraId="51C6305B" w14:textId="77777777" w:rsidR="007157A6" w:rsidRPr="007157A6" w:rsidRDefault="007157A6" w:rsidP="007157A6">
            <w:pPr>
              <w:rPr>
                <w:lang w:val="en-GB"/>
              </w:rPr>
            </w:pPr>
          </w:p>
        </w:tc>
        <w:tc>
          <w:tcPr>
            <w:tcW w:w="3544" w:type="dxa"/>
          </w:tcPr>
          <w:p w14:paraId="3B39F61D"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39A39552" w14:textId="77777777" w:rsidR="007157A6" w:rsidRPr="007157A6" w:rsidRDefault="007157A6" w:rsidP="007157A6">
            <w:pPr>
              <w:rPr>
                <w:lang w:val="en-GB"/>
              </w:rPr>
            </w:pPr>
          </w:p>
        </w:tc>
        <w:tc>
          <w:tcPr>
            <w:tcW w:w="447" w:type="dxa"/>
          </w:tcPr>
          <w:p w14:paraId="53A43C03" w14:textId="77777777" w:rsidR="007157A6" w:rsidRPr="007157A6" w:rsidRDefault="007157A6" w:rsidP="007157A6">
            <w:pPr>
              <w:rPr>
                <w:lang w:val="en-GB"/>
              </w:rPr>
            </w:pPr>
          </w:p>
        </w:tc>
        <w:tc>
          <w:tcPr>
            <w:tcW w:w="446" w:type="dxa"/>
          </w:tcPr>
          <w:p w14:paraId="5E9F1508" w14:textId="77777777" w:rsidR="007157A6" w:rsidRPr="007157A6" w:rsidRDefault="007157A6" w:rsidP="007157A6">
            <w:pPr>
              <w:rPr>
                <w:lang w:val="en-GB"/>
              </w:rPr>
            </w:pPr>
          </w:p>
        </w:tc>
        <w:tc>
          <w:tcPr>
            <w:tcW w:w="447" w:type="dxa"/>
          </w:tcPr>
          <w:p w14:paraId="17F6BADC" w14:textId="77777777" w:rsidR="007157A6" w:rsidRPr="007157A6" w:rsidRDefault="007157A6" w:rsidP="007157A6">
            <w:pPr>
              <w:rPr>
                <w:lang w:val="en-GB"/>
              </w:rPr>
            </w:pPr>
          </w:p>
        </w:tc>
        <w:tc>
          <w:tcPr>
            <w:tcW w:w="447" w:type="dxa"/>
          </w:tcPr>
          <w:p w14:paraId="6F6B536D" w14:textId="77777777" w:rsidR="007157A6" w:rsidRPr="007157A6" w:rsidRDefault="007157A6" w:rsidP="007157A6">
            <w:pPr>
              <w:rPr>
                <w:lang w:val="en-GB"/>
              </w:rPr>
            </w:pPr>
          </w:p>
        </w:tc>
      </w:tr>
      <w:tr w:rsidR="007157A6" w:rsidRPr="007157A6" w14:paraId="6DAC106E" w14:textId="77777777" w:rsidTr="00C850ED">
        <w:tc>
          <w:tcPr>
            <w:tcW w:w="8500" w:type="dxa"/>
            <w:shd w:val="clear" w:color="auto" w:fill="D9D9D9" w:themeFill="background1" w:themeFillShade="D9"/>
          </w:tcPr>
          <w:p w14:paraId="6F53ABD0"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7F33A34"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490CCF9B"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0B854ABF"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13914846"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478E5276"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39FE5913" w14:textId="77777777" w:rsidR="007157A6" w:rsidRPr="007157A6" w:rsidRDefault="007157A6" w:rsidP="007157A6">
            <w:pPr>
              <w:rPr>
                <w:lang w:val="en-GB"/>
              </w:rPr>
            </w:pPr>
            <w:r w:rsidRPr="007157A6">
              <w:rPr>
                <w:b/>
                <w:lang w:val="en-GB"/>
              </w:rPr>
              <w:t>1</w:t>
            </w:r>
          </w:p>
        </w:tc>
      </w:tr>
      <w:tr w:rsidR="007157A6" w:rsidRPr="007157A6" w14:paraId="0979D6C2" w14:textId="77777777" w:rsidTr="00C850ED">
        <w:tc>
          <w:tcPr>
            <w:tcW w:w="8500" w:type="dxa"/>
            <w:vMerge w:val="restart"/>
          </w:tcPr>
          <w:p w14:paraId="7CFF46B1" w14:textId="77777777" w:rsidR="007157A6" w:rsidRPr="007157A6" w:rsidRDefault="007157A6" w:rsidP="007157A6">
            <w:pPr>
              <w:rPr>
                <w:lang w:val="en-GB"/>
              </w:rPr>
            </w:pPr>
            <w:r w:rsidRPr="007157A6">
              <w:rPr>
                <w:lang w:val="en-GB"/>
              </w:rPr>
              <w:t>Collect sustainability data in connection with lending.</w:t>
            </w:r>
          </w:p>
        </w:tc>
        <w:tc>
          <w:tcPr>
            <w:tcW w:w="3544" w:type="dxa"/>
          </w:tcPr>
          <w:p w14:paraId="6847E285" w14:textId="77777777" w:rsidR="007157A6" w:rsidRPr="007157A6" w:rsidRDefault="007157A6" w:rsidP="007157A6">
            <w:pPr>
              <w:rPr>
                <w:lang w:val="en-GB"/>
              </w:rPr>
            </w:pPr>
            <w:r w:rsidRPr="007157A6">
              <w:rPr>
                <w:lang w:val="en-GB"/>
              </w:rPr>
              <w:t>Will foster Sustainable Finance in Germany</w:t>
            </w:r>
          </w:p>
        </w:tc>
        <w:tc>
          <w:tcPr>
            <w:tcW w:w="446" w:type="dxa"/>
          </w:tcPr>
          <w:p w14:paraId="28C9E9A6" w14:textId="77777777" w:rsidR="007157A6" w:rsidRPr="007157A6" w:rsidRDefault="007157A6" w:rsidP="007157A6">
            <w:pPr>
              <w:rPr>
                <w:lang w:val="en-GB"/>
              </w:rPr>
            </w:pPr>
          </w:p>
        </w:tc>
        <w:tc>
          <w:tcPr>
            <w:tcW w:w="447" w:type="dxa"/>
          </w:tcPr>
          <w:p w14:paraId="65155D45" w14:textId="77777777" w:rsidR="007157A6" w:rsidRPr="007157A6" w:rsidRDefault="007157A6" w:rsidP="007157A6">
            <w:pPr>
              <w:rPr>
                <w:lang w:val="en-GB"/>
              </w:rPr>
            </w:pPr>
          </w:p>
        </w:tc>
        <w:tc>
          <w:tcPr>
            <w:tcW w:w="446" w:type="dxa"/>
          </w:tcPr>
          <w:p w14:paraId="7FA80358" w14:textId="77777777" w:rsidR="007157A6" w:rsidRPr="007157A6" w:rsidRDefault="007157A6" w:rsidP="007157A6">
            <w:pPr>
              <w:rPr>
                <w:lang w:val="en-GB"/>
              </w:rPr>
            </w:pPr>
          </w:p>
        </w:tc>
        <w:tc>
          <w:tcPr>
            <w:tcW w:w="447" w:type="dxa"/>
          </w:tcPr>
          <w:p w14:paraId="6B953AA8" w14:textId="77777777" w:rsidR="007157A6" w:rsidRPr="007157A6" w:rsidRDefault="007157A6" w:rsidP="007157A6">
            <w:pPr>
              <w:rPr>
                <w:lang w:val="en-GB"/>
              </w:rPr>
            </w:pPr>
          </w:p>
        </w:tc>
        <w:tc>
          <w:tcPr>
            <w:tcW w:w="447" w:type="dxa"/>
          </w:tcPr>
          <w:p w14:paraId="56F82A41" w14:textId="77777777" w:rsidR="007157A6" w:rsidRPr="007157A6" w:rsidRDefault="007157A6" w:rsidP="007157A6">
            <w:pPr>
              <w:rPr>
                <w:lang w:val="en-GB"/>
              </w:rPr>
            </w:pPr>
          </w:p>
        </w:tc>
      </w:tr>
      <w:tr w:rsidR="007157A6" w:rsidRPr="007157A6" w14:paraId="6EB665DB" w14:textId="77777777" w:rsidTr="00C850ED">
        <w:tc>
          <w:tcPr>
            <w:tcW w:w="8500" w:type="dxa"/>
            <w:vMerge/>
          </w:tcPr>
          <w:p w14:paraId="22308D78" w14:textId="77777777" w:rsidR="007157A6" w:rsidRPr="007157A6" w:rsidRDefault="007157A6" w:rsidP="007157A6">
            <w:pPr>
              <w:rPr>
                <w:lang w:val="en-GB"/>
              </w:rPr>
            </w:pPr>
          </w:p>
        </w:tc>
        <w:tc>
          <w:tcPr>
            <w:tcW w:w="3544" w:type="dxa"/>
          </w:tcPr>
          <w:p w14:paraId="3BB008E3" w14:textId="77777777" w:rsidR="007157A6" w:rsidRPr="007157A6" w:rsidRDefault="007157A6" w:rsidP="007157A6">
            <w:pPr>
              <w:rPr>
                <w:lang w:val="en-GB"/>
              </w:rPr>
            </w:pPr>
            <w:r w:rsidRPr="007157A6">
              <w:rPr>
                <w:lang w:val="en-GB"/>
              </w:rPr>
              <w:t>Level of ambition</w:t>
            </w:r>
          </w:p>
        </w:tc>
        <w:tc>
          <w:tcPr>
            <w:tcW w:w="446" w:type="dxa"/>
          </w:tcPr>
          <w:p w14:paraId="6B51D390" w14:textId="77777777" w:rsidR="007157A6" w:rsidRPr="007157A6" w:rsidRDefault="007157A6" w:rsidP="007157A6">
            <w:pPr>
              <w:rPr>
                <w:lang w:val="en-GB"/>
              </w:rPr>
            </w:pPr>
          </w:p>
        </w:tc>
        <w:tc>
          <w:tcPr>
            <w:tcW w:w="447" w:type="dxa"/>
          </w:tcPr>
          <w:p w14:paraId="3D2E391E" w14:textId="77777777" w:rsidR="007157A6" w:rsidRPr="007157A6" w:rsidRDefault="007157A6" w:rsidP="007157A6">
            <w:pPr>
              <w:rPr>
                <w:lang w:val="en-GB"/>
              </w:rPr>
            </w:pPr>
          </w:p>
        </w:tc>
        <w:tc>
          <w:tcPr>
            <w:tcW w:w="446" w:type="dxa"/>
          </w:tcPr>
          <w:p w14:paraId="31520CD7" w14:textId="77777777" w:rsidR="007157A6" w:rsidRPr="007157A6" w:rsidRDefault="007157A6" w:rsidP="007157A6">
            <w:pPr>
              <w:rPr>
                <w:lang w:val="en-GB"/>
              </w:rPr>
            </w:pPr>
          </w:p>
        </w:tc>
        <w:tc>
          <w:tcPr>
            <w:tcW w:w="447" w:type="dxa"/>
          </w:tcPr>
          <w:p w14:paraId="33C35EE3" w14:textId="77777777" w:rsidR="007157A6" w:rsidRPr="007157A6" w:rsidRDefault="007157A6" w:rsidP="007157A6">
            <w:pPr>
              <w:rPr>
                <w:lang w:val="en-GB"/>
              </w:rPr>
            </w:pPr>
          </w:p>
        </w:tc>
        <w:tc>
          <w:tcPr>
            <w:tcW w:w="447" w:type="dxa"/>
          </w:tcPr>
          <w:p w14:paraId="691BE894" w14:textId="77777777" w:rsidR="007157A6" w:rsidRPr="007157A6" w:rsidRDefault="007157A6" w:rsidP="007157A6">
            <w:pPr>
              <w:rPr>
                <w:lang w:val="en-GB"/>
              </w:rPr>
            </w:pPr>
          </w:p>
        </w:tc>
      </w:tr>
      <w:tr w:rsidR="007157A6" w:rsidRPr="007157A6" w14:paraId="129BF704" w14:textId="77777777" w:rsidTr="00C850ED">
        <w:tc>
          <w:tcPr>
            <w:tcW w:w="8500" w:type="dxa"/>
            <w:vMerge/>
          </w:tcPr>
          <w:p w14:paraId="666E7892" w14:textId="77777777" w:rsidR="007157A6" w:rsidRPr="007157A6" w:rsidRDefault="007157A6" w:rsidP="007157A6">
            <w:pPr>
              <w:rPr>
                <w:lang w:val="en-GB"/>
              </w:rPr>
            </w:pPr>
          </w:p>
        </w:tc>
        <w:tc>
          <w:tcPr>
            <w:tcW w:w="3544" w:type="dxa"/>
          </w:tcPr>
          <w:p w14:paraId="3714562D" w14:textId="77777777" w:rsidR="007157A6" w:rsidRPr="007157A6" w:rsidRDefault="007157A6" w:rsidP="007157A6">
            <w:pPr>
              <w:rPr>
                <w:lang w:val="en-GB"/>
              </w:rPr>
            </w:pPr>
            <w:r w:rsidRPr="007157A6">
              <w:rPr>
                <w:lang w:val="en-GB"/>
              </w:rPr>
              <w:t>Practicability</w:t>
            </w:r>
          </w:p>
        </w:tc>
        <w:tc>
          <w:tcPr>
            <w:tcW w:w="446" w:type="dxa"/>
          </w:tcPr>
          <w:p w14:paraId="223ACDB9" w14:textId="77777777" w:rsidR="007157A6" w:rsidRPr="007157A6" w:rsidRDefault="007157A6" w:rsidP="007157A6">
            <w:pPr>
              <w:rPr>
                <w:lang w:val="en-GB"/>
              </w:rPr>
            </w:pPr>
          </w:p>
        </w:tc>
        <w:tc>
          <w:tcPr>
            <w:tcW w:w="447" w:type="dxa"/>
          </w:tcPr>
          <w:p w14:paraId="44F2EFB9" w14:textId="77777777" w:rsidR="007157A6" w:rsidRPr="007157A6" w:rsidRDefault="007157A6" w:rsidP="007157A6">
            <w:pPr>
              <w:rPr>
                <w:lang w:val="en-GB"/>
              </w:rPr>
            </w:pPr>
          </w:p>
        </w:tc>
        <w:tc>
          <w:tcPr>
            <w:tcW w:w="446" w:type="dxa"/>
          </w:tcPr>
          <w:p w14:paraId="36E36AEB" w14:textId="77777777" w:rsidR="007157A6" w:rsidRPr="007157A6" w:rsidRDefault="007157A6" w:rsidP="007157A6">
            <w:pPr>
              <w:rPr>
                <w:lang w:val="en-GB"/>
              </w:rPr>
            </w:pPr>
          </w:p>
        </w:tc>
        <w:tc>
          <w:tcPr>
            <w:tcW w:w="447" w:type="dxa"/>
          </w:tcPr>
          <w:p w14:paraId="4D8983A0" w14:textId="77777777" w:rsidR="007157A6" w:rsidRPr="007157A6" w:rsidRDefault="007157A6" w:rsidP="007157A6">
            <w:pPr>
              <w:rPr>
                <w:lang w:val="en-GB"/>
              </w:rPr>
            </w:pPr>
          </w:p>
        </w:tc>
        <w:tc>
          <w:tcPr>
            <w:tcW w:w="447" w:type="dxa"/>
          </w:tcPr>
          <w:p w14:paraId="2F8B6B31" w14:textId="77777777" w:rsidR="007157A6" w:rsidRPr="007157A6" w:rsidRDefault="007157A6" w:rsidP="007157A6">
            <w:pPr>
              <w:rPr>
                <w:lang w:val="en-GB"/>
              </w:rPr>
            </w:pPr>
          </w:p>
        </w:tc>
      </w:tr>
      <w:tr w:rsidR="007157A6" w:rsidRPr="007157A6" w14:paraId="76692B50" w14:textId="77777777" w:rsidTr="00C850ED">
        <w:tc>
          <w:tcPr>
            <w:tcW w:w="8500" w:type="dxa"/>
            <w:vMerge/>
          </w:tcPr>
          <w:p w14:paraId="0460217C" w14:textId="77777777" w:rsidR="007157A6" w:rsidRPr="007157A6" w:rsidRDefault="007157A6" w:rsidP="007157A6">
            <w:pPr>
              <w:rPr>
                <w:lang w:val="en-GB"/>
              </w:rPr>
            </w:pPr>
          </w:p>
        </w:tc>
        <w:tc>
          <w:tcPr>
            <w:tcW w:w="3544" w:type="dxa"/>
          </w:tcPr>
          <w:p w14:paraId="76F13B08"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1F728976" w14:textId="77777777" w:rsidR="007157A6" w:rsidRPr="007157A6" w:rsidRDefault="007157A6" w:rsidP="007157A6">
            <w:pPr>
              <w:rPr>
                <w:lang w:val="en-GB"/>
              </w:rPr>
            </w:pPr>
          </w:p>
        </w:tc>
        <w:tc>
          <w:tcPr>
            <w:tcW w:w="447" w:type="dxa"/>
          </w:tcPr>
          <w:p w14:paraId="0810288C" w14:textId="77777777" w:rsidR="007157A6" w:rsidRPr="007157A6" w:rsidRDefault="007157A6" w:rsidP="007157A6">
            <w:pPr>
              <w:rPr>
                <w:lang w:val="en-GB"/>
              </w:rPr>
            </w:pPr>
          </w:p>
        </w:tc>
        <w:tc>
          <w:tcPr>
            <w:tcW w:w="446" w:type="dxa"/>
          </w:tcPr>
          <w:p w14:paraId="6EF02A92" w14:textId="77777777" w:rsidR="007157A6" w:rsidRPr="007157A6" w:rsidRDefault="007157A6" w:rsidP="007157A6">
            <w:pPr>
              <w:rPr>
                <w:lang w:val="en-GB"/>
              </w:rPr>
            </w:pPr>
          </w:p>
        </w:tc>
        <w:tc>
          <w:tcPr>
            <w:tcW w:w="447" w:type="dxa"/>
          </w:tcPr>
          <w:p w14:paraId="0E9E0739" w14:textId="77777777" w:rsidR="007157A6" w:rsidRPr="007157A6" w:rsidRDefault="007157A6" w:rsidP="007157A6">
            <w:pPr>
              <w:rPr>
                <w:lang w:val="en-GB"/>
              </w:rPr>
            </w:pPr>
          </w:p>
        </w:tc>
        <w:tc>
          <w:tcPr>
            <w:tcW w:w="447" w:type="dxa"/>
          </w:tcPr>
          <w:p w14:paraId="5F87C3A3" w14:textId="77777777" w:rsidR="007157A6" w:rsidRPr="007157A6" w:rsidRDefault="007157A6" w:rsidP="007157A6">
            <w:pPr>
              <w:rPr>
                <w:lang w:val="en-GB"/>
              </w:rPr>
            </w:pPr>
          </w:p>
        </w:tc>
      </w:tr>
      <w:tr w:rsidR="007157A6" w:rsidRPr="007157A6" w14:paraId="12FC6DCE" w14:textId="77777777" w:rsidTr="00C850ED">
        <w:tc>
          <w:tcPr>
            <w:tcW w:w="8500" w:type="dxa"/>
            <w:shd w:val="clear" w:color="auto" w:fill="D9D9D9" w:themeFill="background1" w:themeFillShade="D9"/>
          </w:tcPr>
          <w:p w14:paraId="3BAF99DE"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AAEB296"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7B0615A1"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3378CC55"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3C43A2AF"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09C4EA32"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625932BD" w14:textId="77777777" w:rsidR="007157A6" w:rsidRPr="007157A6" w:rsidRDefault="007157A6" w:rsidP="007157A6">
            <w:pPr>
              <w:rPr>
                <w:lang w:val="en-GB"/>
              </w:rPr>
            </w:pPr>
            <w:r w:rsidRPr="007157A6">
              <w:rPr>
                <w:b/>
                <w:lang w:val="en-GB"/>
              </w:rPr>
              <w:t>1</w:t>
            </w:r>
          </w:p>
        </w:tc>
      </w:tr>
      <w:tr w:rsidR="007157A6" w:rsidRPr="007157A6" w14:paraId="7314560C" w14:textId="77777777" w:rsidTr="00C850ED">
        <w:tc>
          <w:tcPr>
            <w:tcW w:w="8500" w:type="dxa"/>
            <w:vMerge w:val="restart"/>
          </w:tcPr>
          <w:p w14:paraId="790D35F3" w14:textId="77777777" w:rsidR="007157A6" w:rsidRPr="007157A6" w:rsidRDefault="007157A6" w:rsidP="007157A6">
            <w:pPr>
              <w:rPr>
                <w:lang w:val="en-GB"/>
              </w:rPr>
            </w:pPr>
            <w:r w:rsidRPr="007157A6">
              <w:rPr>
                <w:lang w:val="en-GB"/>
              </w:rPr>
              <w:t>Develop baseline scenarios for the application of scenario analyses as well as stress scenarios for stress tests.</w:t>
            </w:r>
          </w:p>
        </w:tc>
        <w:tc>
          <w:tcPr>
            <w:tcW w:w="3544" w:type="dxa"/>
          </w:tcPr>
          <w:p w14:paraId="0ADB9B60" w14:textId="77777777" w:rsidR="007157A6" w:rsidRPr="007157A6" w:rsidRDefault="007157A6" w:rsidP="007157A6">
            <w:pPr>
              <w:rPr>
                <w:lang w:val="en-GB"/>
              </w:rPr>
            </w:pPr>
            <w:r w:rsidRPr="007157A6">
              <w:rPr>
                <w:lang w:val="en-GB"/>
              </w:rPr>
              <w:t>Will foster Sustainable Finance in Germany</w:t>
            </w:r>
          </w:p>
        </w:tc>
        <w:tc>
          <w:tcPr>
            <w:tcW w:w="446" w:type="dxa"/>
          </w:tcPr>
          <w:p w14:paraId="25E45B2A" w14:textId="77777777" w:rsidR="007157A6" w:rsidRPr="007157A6" w:rsidRDefault="007157A6" w:rsidP="007157A6">
            <w:pPr>
              <w:rPr>
                <w:lang w:val="en-GB"/>
              </w:rPr>
            </w:pPr>
          </w:p>
        </w:tc>
        <w:tc>
          <w:tcPr>
            <w:tcW w:w="447" w:type="dxa"/>
          </w:tcPr>
          <w:p w14:paraId="448A10F5" w14:textId="77777777" w:rsidR="007157A6" w:rsidRPr="007157A6" w:rsidRDefault="007157A6" w:rsidP="007157A6">
            <w:pPr>
              <w:rPr>
                <w:lang w:val="en-GB"/>
              </w:rPr>
            </w:pPr>
          </w:p>
        </w:tc>
        <w:tc>
          <w:tcPr>
            <w:tcW w:w="446" w:type="dxa"/>
          </w:tcPr>
          <w:p w14:paraId="7FB95167" w14:textId="77777777" w:rsidR="007157A6" w:rsidRPr="007157A6" w:rsidRDefault="007157A6" w:rsidP="007157A6">
            <w:pPr>
              <w:rPr>
                <w:lang w:val="en-GB"/>
              </w:rPr>
            </w:pPr>
          </w:p>
        </w:tc>
        <w:tc>
          <w:tcPr>
            <w:tcW w:w="447" w:type="dxa"/>
          </w:tcPr>
          <w:p w14:paraId="0374EAC9" w14:textId="77777777" w:rsidR="007157A6" w:rsidRPr="007157A6" w:rsidRDefault="007157A6" w:rsidP="007157A6">
            <w:pPr>
              <w:rPr>
                <w:lang w:val="en-GB"/>
              </w:rPr>
            </w:pPr>
          </w:p>
        </w:tc>
        <w:tc>
          <w:tcPr>
            <w:tcW w:w="447" w:type="dxa"/>
          </w:tcPr>
          <w:p w14:paraId="375FD8FE" w14:textId="77777777" w:rsidR="007157A6" w:rsidRPr="007157A6" w:rsidRDefault="007157A6" w:rsidP="007157A6">
            <w:pPr>
              <w:rPr>
                <w:lang w:val="en-GB"/>
              </w:rPr>
            </w:pPr>
          </w:p>
        </w:tc>
      </w:tr>
      <w:tr w:rsidR="007157A6" w:rsidRPr="007157A6" w14:paraId="10C86E47" w14:textId="77777777" w:rsidTr="00C850ED">
        <w:tc>
          <w:tcPr>
            <w:tcW w:w="8500" w:type="dxa"/>
            <w:vMerge/>
          </w:tcPr>
          <w:p w14:paraId="6E35F907" w14:textId="77777777" w:rsidR="007157A6" w:rsidRPr="007157A6" w:rsidRDefault="007157A6" w:rsidP="007157A6">
            <w:pPr>
              <w:rPr>
                <w:lang w:val="en-GB"/>
              </w:rPr>
            </w:pPr>
          </w:p>
        </w:tc>
        <w:tc>
          <w:tcPr>
            <w:tcW w:w="3544" w:type="dxa"/>
          </w:tcPr>
          <w:p w14:paraId="279F6653" w14:textId="77777777" w:rsidR="007157A6" w:rsidRPr="007157A6" w:rsidRDefault="007157A6" w:rsidP="007157A6">
            <w:pPr>
              <w:rPr>
                <w:lang w:val="en-GB"/>
              </w:rPr>
            </w:pPr>
            <w:r w:rsidRPr="007157A6">
              <w:rPr>
                <w:lang w:val="en-GB"/>
              </w:rPr>
              <w:t>Level of ambition</w:t>
            </w:r>
          </w:p>
        </w:tc>
        <w:tc>
          <w:tcPr>
            <w:tcW w:w="446" w:type="dxa"/>
          </w:tcPr>
          <w:p w14:paraId="29253D78" w14:textId="77777777" w:rsidR="007157A6" w:rsidRPr="007157A6" w:rsidRDefault="007157A6" w:rsidP="007157A6">
            <w:pPr>
              <w:rPr>
                <w:lang w:val="en-GB"/>
              </w:rPr>
            </w:pPr>
          </w:p>
        </w:tc>
        <w:tc>
          <w:tcPr>
            <w:tcW w:w="447" w:type="dxa"/>
          </w:tcPr>
          <w:p w14:paraId="14B3EABB" w14:textId="77777777" w:rsidR="007157A6" w:rsidRPr="007157A6" w:rsidRDefault="007157A6" w:rsidP="007157A6">
            <w:pPr>
              <w:rPr>
                <w:lang w:val="en-GB"/>
              </w:rPr>
            </w:pPr>
          </w:p>
        </w:tc>
        <w:tc>
          <w:tcPr>
            <w:tcW w:w="446" w:type="dxa"/>
          </w:tcPr>
          <w:p w14:paraId="5540BC02" w14:textId="77777777" w:rsidR="007157A6" w:rsidRPr="007157A6" w:rsidRDefault="007157A6" w:rsidP="007157A6">
            <w:pPr>
              <w:rPr>
                <w:lang w:val="en-GB"/>
              </w:rPr>
            </w:pPr>
          </w:p>
        </w:tc>
        <w:tc>
          <w:tcPr>
            <w:tcW w:w="447" w:type="dxa"/>
          </w:tcPr>
          <w:p w14:paraId="2F797BC8" w14:textId="77777777" w:rsidR="007157A6" w:rsidRPr="007157A6" w:rsidRDefault="007157A6" w:rsidP="007157A6">
            <w:pPr>
              <w:rPr>
                <w:lang w:val="en-GB"/>
              </w:rPr>
            </w:pPr>
          </w:p>
        </w:tc>
        <w:tc>
          <w:tcPr>
            <w:tcW w:w="447" w:type="dxa"/>
          </w:tcPr>
          <w:p w14:paraId="628E8670" w14:textId="77777777" w:rsidR="007157A6" w:rsidRPr="007157A6" w:rsidRDefault="007157A6" w:rsidP="007157A6">
            <w:pPr>
              <w:rPr>
                <w:lang w:val="en-GB"/>
              </w:rPr>
            </w:pPr>
          </w:p>
        </w:tc>
      </w:tr>
      <w:tr w:rsidR="007157A6" w:rsidRPr="007157A6" w14:paraId="375BD549" w14:textId="77777777" w:rsidTr="00C850ED">
        <w:tc>
          <w:tcPr>
            <w:tcW w:w="8500" w:type="dxa"/>
            <w:vMerge/>
          </w:tcPr>
          <w:p w14:paraId="743B495F" w14:textId="77777777" w:rsidR="007157A6" w:rsidRPr="007157A6" w:rsidRDefault="007157A6" w:rsidP="007157A6">
            <w:pPr>
              <w:rPr>
                <w:lang w:val="en-GB"/>
              </w:rPr>
            </w:pPr>
          </w:p>
        </w:tc>
        <w:tc>
          <w:tcPr>
            <w:tcW w:w="3544" w:type="dxa"/>
          </w:tcPr>
          <w:p w14:paraId="217AA877" w14:textId="77777777" w:rsidR="007157A6" w:rsidRPr="007157A6" w:rsidRDefault="007157A6" w:rsidP="007157A6">
            <w:pPr>
              <w:rPr>
                <w:lang w:val="en-GB"/>
              </w:rPr>
            </w:pPr>
            <w:r w:rsidRPr="007157A6">
              <w:rPr>
                <w:lang w:val="en-GB"/>
              </w:rPr>
              <w:t>Practicability</w:t>
            </w:r>
          </w:p>
        </w:tc>
        <w:tc>
          <w:tcPr>
            <w:tcW w:w="446" w:type="dxa"/>
          </w:tcPr>
          <w:p w14:paraId="799DA6E2" w14:textId="77777777" w:rsidR="007157A6" w:rsidRPr="007157A6" w:rsidRDefault="007157A6" w:rsidP="007157A6">
            <w:pPr>
              <w:rPr>
                <w:lang w:val="en-GB"/>
              </w:rPr>
            </w:pPr>
          </w:p>
        </w:tc>
        <w:tc>
          <w:tcPr>
            <w:tcW w:w="447" w:type="dxa"/>
          </w:tcPr>
          <w:p w14:paraId="30181B26" w14:textId="77777777" w:rsidR="007157A6" w:rsidRPr="007157A6" w:rsidRDefault="007157A6" w:rsidP="007157A6">
            <w:pPr>
              <w:rPr>
                <w:lang w:val="en-GB"/>
              </w:rPr>
            </w:pPr>
          </w:p>
        </w:tc>
        <w:tc>
          <w:tcPr>
            <w:tcW w:w="446" w:type="dxa"/>
          </w:tcPr>
          <w:p w14:paraId="27D63BC6" w14:textId="77777777" w:rsidR="007157A6" w:rsidRPr="007157A6" w:rsidRDefault="007157A6" w:rsidP="007157A6">
            <w:pPr>
              <w:rPr>
                <w:lang w:val="en-GB"/>
              </w:rPr>
            </w:pPr>
          </w:p>
        </w:tc>
        <w:tc>
          <w:tcPr>
            <w:tcW w:w="447" w:type="dxa"/>
          </w:tcPr>
          <w:p w14:paraId="60BFF2E5" w14:textId="77777777" w:rsidR="007157A6" w:rsidRPr="007157A6" w:rsidRDefault="007157A6" w:rsidP="007157A6">
            <w:pPr>
              <w:rPr>
                <w:lang w:val="en-GB"/>
              </w:rPr>
            </w:pPr>
          </w:p>
        </w:tc>
        <w:tc>
          <w:tcPr>
            <w:tcW w:w="447" w:type="dxa"/>
          </w:tcPr>
          <w:p w14:paraId="3ED61E79" w14:textId="77777777" w:rsidR="007157A6" w:rsidRPr="007157A6" w:rsidRDefault="007157A6" w:rsidP="007157A6">
            <w:pPr>
              <w:rPr>
                <w:lang w:val="en-GB"/>
              </w:rPr>
            </w:pPr>
          </w:p>
        </w:tc>
      </w:tr>
      <w:tr w:rsidR="007157A6" w:rsidRPr="007157A6" w14:paraId="14A9FD7D" w14:textId="77777777" w:rsidTr="00C850ED">
        <w:tc>
          <w:tcPr>
            <w:tcW w:w="8500" w:type="dxa"/>
            <w:vMerge/>
          </w:tcPr>
          <w:p w14:paraId="59121661" w14:textId="77777777" w:rsidR="007157A6" w:rsidRPr="007157A6" w:rsidRDefault="007157A6" w:rsidP="007157A6">
            <w:pPr>
              <w:rPr>
                <w:lang w:val="en-GB"/>
              </w:rPr>
            </w:pPr>
          </w:p>
        </w:tc>
        <w:tc>
          <w:tcPr>
            <w:tcW w:w="3544" w:type="dxa"/>
          </w:tcPr>
          <w:p w14:paraId="25F15E4F"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37BBB2B9" w14:textId="77777777" w:rsidR="007157A6" w:rsidRPr="007157A6" w:rsidRDefault="007157A6" w:rsidP="007157A6">
            <w:pPr>
              <w:rPr>
                <w:lang w:val="en-GB"/>
              </w:rPr>
            </w:pPr>
          </w:p>
        </w:tc>
        <w:tc>
          <w:tcPr>
            <w:tcW w:w="447" w:type="dxa"/>
          </w:tcPr>
          <w:p w14:paraId="36C43BA0" w14:textId="77777777" w:rsidR="007157A6" w:rsidRPr="007157A6" w:rsidRDefault="007157A6" w:rsidP="007157A6">
            <w:pPr>
              <w:rPr>
                <w:lang w:val="en-GB"/>
              </w:rPr>
            </w:pPr>
          </w:p>
        </w:tc>
        <w:tc>
          <w:tcPr>
            <w:tcW w:w="446" w:type="dxa"/>
          </w:tcPr>
          <w:p w14:paraId="2130297E" w14:textId="77777777" w:rsidR="007157A6" w:rsidRPr="007157A6" w:rsidRDefault="007157A6" w:rsidP="007157A6">
            <w:pPr>
              <w:rPr>
                <w:lang w:val="en-GB"/>
              </w:rPr>
            </w:pPr>
          </w:p>
        </w:tc>
        <w:tc>
          <w:tcPr>
            <w:tcW w:w="447" w:type="dxa"/>
          </w:tcPr>
          <w:p w14:paraId="4FB47B5F" w14:textId="77777777" w:rsidR="007157A6" w:rsidRPr="007157A6" w:rsidRDefault="007157A6" w:rsidP="007157A6">
            <w:pPr>
              <w:rPr>
                <w:lang w:val="en-GB"/>
              </w:rPr>
            </w:pPr>
          </w:p>
        </w:tc>
        <w:tc>
          <w:tcPr>
            <w:tcW w:w="447" w:type="dxa"/>
          </w:tcPr>
          <w:p w14:paraId="59EDD8FB" w14:textId="77777777" w:rsidR="007157A6" w:rsidRPr="007157A6" w:rsidRDefault="007157A6" w:rsidP="007157A6">
            <w:pPr>
              <w:rPr>
                <w:lang w:val="en-GB"/>
              </w:rPr>
            </w:pPr>
          </w:p>
        </w:tc>
      </w:tr>
      <w:tr w:rsidR="007157A6" w:rsidRPr="007157A6" w14:paraId="7FB6662D" w14:textId="77777777" w:rsidTr="00C850ED">
        <w:tc>
          <w:tcPr>
            <w:tcW w:w="8500" w:type="dxa"/>
            <w:shd w:val="clear" w:color="auto" w:fill="D9D9D9" w:themeFill="background1" w:themeFillShade="D9"/>
          </w:tcPr>
          <w:p w14:paraId="586E51E4"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1B487B7C" w14:textId="77777777" w:rsidR="007157A6" w:rsidRPr="007157A6" w:rsidRDefault="007157A6" w:rsidP="007157A6">
            <w:pPr>
              <w:rPr>
                <w:b/>
                <w:lang w:val="en-GB"/>
              </w:rPr>
            </w:pPr>
            <w:r w:rsidRPr="007157A6">
              <w:rPr>
                <w:b/>
                <w:lang w:val="en-GB"/>
              </w:rPr>
              <w:t>Evaluation category</w:t>
            </w:r>
          </w:p>
        </w:tc>
        <w:tc>
          <w:tcPr>
            <w:tcW w:w="446" w:type="dxa"/>
            <w:shd w:val="clear" w:color="auto" w:fill="D9D9D9" w:themeFill="background1" w:themeFillShade="D9"/>
          </w:tcPr>
          <w:p w14:paraId="46B60DDA" w14:textId="77777777" w:rsidR="007157A6" w:rsidRPr="007157A6" w:rsidRDefault="007157A6" w:rsidP="007157A6">
            <w:pPr>
              <w:rPr>
                <w:b/>
                <w:lang w:val="en-GB"/>
              </w:rPr>
            </w:pPr>
            <w:r w:rsidRPr="007157A6">
              <w:rPr>
                <w:b/>
                <w:lang w:val="en-GB"/>
              </w:rPr>
              <w:t>5</w:t>
            </w:r>
          </w:p>
        </w:tc>
        <w:tc>
          <w:tcPr>
            <w:tcW w:w="447" w:type="dxa"/>
            <w:shd w:val="clear" w:color="auto" w:fill="D9D9D9" w:themeFill="background1" w:themeFillShade="D9"/>
          </w:tcPr>
          <w:p w14:paraId="513E3AD0" w14:textId="77777777" w:rsidR="007157A6" w:rsidRPr="007157A6" w:rsidRDefault="007157A6" w:rsidP="007157A6">
            <w:pPr>
              <w:rPr>
                <w:b/>
                <w:lang w:val="en-GB"/>
              </w:rPr>
            </w:pPr>
            <w:r w:rsidRPr="007157A6">
              <w:rPr>
                <w:b/>
                <w:lang w:val="en-GB"/>
              </w:rPr>
              <w:t>4</w:t>
            </w:r>
          </w:p>
        </w:tc>
        <w:tc>
          <w:tcPr>
            <w:tcW w:w="446" w:type="dxa"/>
            <w:shd w:val="clear" w:color="auto" w:fill="D9D9D9" w:themeFill="background1" w:themeFillShade="D9"/>
          </w:tcPr>
          <w:p w14:paraId="5B631680" w14:textId="77777777" w:rsidR="007157A6" w:rsidRPr="007157A6" w:rsidRDefault="007157A6" w:rsidP="007157A6">
            <w:pPr>
              <w:rPr>
                <w:b/>
                <w:lang w:val="en-GB"/>
              </w:rPr>
            </w:pPr>
            <w:r w:rsidRPr="007157A6">
              <w:rPr>
                <w:b/>
                <w:lang w:val="en-GB"/>
              </w:rPr>
              <w:t>3</w:t>
            </w:r>
          </w:p>
        </w:tc>
        <w:tc>
          <w:tcPr>
            <w:tcW w:w="447" w:type="dxa"/>
            <w:shd w:val="clear" w:color="auto" w:fill="D9D9D9" w:themeFill="background1" w:themeFillShade="D9"/>
          </w:tcPr>
          <w:p w14:paraId="03631DA5" w14:textId="77777777" w:rsidR="007157A6" w:rsidRPr="007157A6" w:rsidRDefault="007157A6" w:rsidP="007157A6">
            <w:pPr>
              <w:rPr>
                <w:b/>
                <w:lang w:val="en-GB"/>
              </w:rPr>
            </w:pPr>
            <w:r w:rsidRPr="007157A6">
              <w:rPr>
                <w:b/>
                <w:lang w:val="en-GB"/>
              </w:rPr>
              <w:t>2</w:t>
            </w:r>
          </w:p>
        </w:tc>
        <w:tc>
          <w:tcPr>
            <w:tcW w:w="447" w:type="dxa"/>
            <w:shd w:val="clear" w:color="auto" w:fill="D9D9D9" w:themeFill="background1" w:themeFillShade="D9"/>
          </w:tcPr>
          <w:p w14:paraId="0C75010F" w14:textId="77777777" w:rsidR="007157A6" w:rsidRPr="007157A6" w:rsidRDefault="007157A6" w:rsidP="007157A6">
            <w:pPr>
              <w:rPr>
                <w:b/>
                <w:lang w:val="en-GB"/>
              </w:rPr>
            </w:pPr>
            <w:r w:rsidRPr="007157A6">
              <w:rPr>
                <w:b/>
                <w:lang w:val="en-GB"/>
              </w:rPr>
              <w:t>1</w:t>
            </w:r>
          </w:p>
        </w:tc>
      </w:tr>
      <w:tr w:rsidR="007157A6" w:rsidRPr="007157A6" w14:paraId="4E663A88" w14:textId="77777777" w:rsidTr="00C850ED">
        <w:tc>
          <w:tcPr>
            <w:tcW w:w="8500" w:type="dxa"/>
            <w:vMerge w:val="restart"/>
          </w:tcPr>
          <w:p w14:paraId="137AC25D" w14:textId="77777777" w:rsidR="007157A6" w:rsidRPr="007157A6" w:rsidRDefault="007157A6" w:rsidP="007157A6">
            <w:pPr>
              <w:rPr>
                <w:lang w:val="en-GB"/>
              </w:rPr>
            </w:pPr>
            <w:r w:rsidRPr="007157A6">
              <w:rPr>
                <w:lang w:val="en-GB"/>
              </w:rPr>
              <w:t>Develop standardised impact measurement methods so that the outcome of investments and funding in relation to the intended achievement of sustainability goals can be measured.</w:t>
            </w:r>
          </w:p>
        </w:tc>
        <w:tc>
          <w:tcPr>
            <w:tcW w:w="3544" w:type="dxa"/>
          </w:tcPr>
          <w:p w14:paraId="677F208E" w14:textId="77777777" w:rsidR="007157A6" w:rsidRPr="007157A6" w:rsidRDefault="007157A6" w:rsidP="007157A6">
            <w:pPr>
              <w:rPr>
                <w:lang w:val="en-GB"/>
              </w:rPr>
            </w:pPr>
            <w:r w:rsidRPr="007157A6">
              <w:rPr>
                <w:lang w:val="en-GB"/>
              </w:rPr>
              <w:t>Will foster Sustainable Finance in Germany</w:t>
            </w:r>
          </w:p>
        </w:tc>
        <w:tc>
          <w:tcPr>
            <w:tcW w:w="446" w:type="dxa"/>
          </w:tcPr>
          <w:p w14:paraId="1310DF53" w14:textId="77777777" w:rsidR="007157A6" w:rsidRPr="007157A6" w:rsidRDefault="007157A6" w:rsidP="007157A6">
            <w:pPr>
              <w:rPr>
                <w:lang w:val="en-GB"/>
              </w:rPr>
            </w:pPr>
          </w:p>
        </w:tc>
        <w:tc>
          <w:tcPr>
            <w:tcW w:w="447" w:type="dxa"/>
          </w:tcPr>
          <w:p w14:paraId="095430AC" w14:textId="77777777" w:rsidR="007157A6" w:rsidRPr="007157A6" w:rsidRDefault="007157A6" w:rsidP="007157A6">
            <w:pPr>
              <w:rPr>
                <w:lang w:val="en-GB"/>
              </w:rPr>
            </w:pPr>
          </w:p>
        </w:tc>
        <w:tc>
          <w:tcPr>
            <w:tcW w:w="446" w:type="dxa"/>
          </w:tcPr>
          <w:p w14:paraId="7DDBEED4" w14:textId="77777777" w:rsidR="007157A6" w:rsidRPr="007157A6" w:rsidRDefault="007157A6" w:rsidP="007157A6">
            <w:pPr>
              <w:rPr>
                <w:lang w:val="en-GB"/>
              </w:rPr>
            </w:pPr>
          </w:p>
        </w:tc>
        <w:tc>
          <w:tcPr>
            <w:tcW w:w="447" w:type="dxa"/>
          </w:tcPr>
          <w:p w14:paraId="79662BA1" w14:textId="77777777" w:rsidR="007157A6" w:rsidRPr="007157A6" w:rsidRDefault="007157A6" w:rsidP="007157A6">
            <w:pPr>
              <w:rPr>
                <w:lang w:val="en-GB"/>
              </w:rPr>
            </w:pPr>
          </w:p>
        </w:tc>
        <w:tc>
          <w:tcPr>
            <w:tcW w:w="447" w:type="dxa"/>
          </w:tcPr>
          <w:p w14:paraId="5FA4BFFD" w14:textId="77777777" w:rsidR="007157A6" w:rsidRPr="007157A6" w:rsidRDefault="007157A6" w:rsidP="007157A6">
            <w:pPr>
              <w:rPr>
                <w:lang w:val="en-GB"/>
              </w:rPr>
            </w:pPr>
          </w:p>
        </w:tc>
      </w:tr>
      <w:tr w:rsidR="007157A6" w:rsidRPr="007157A6" w14:paraId="45881DCD" w14:textId="77777777" w:rsidTr="00C850ED">
        <w:tc>
          <w:tcPr>
            <w:tcW w:w="8500" w:type="dxa"/>
            <w:vMerge/>
          </w:tcPr>
          <w:p w14:paraId="42E04348" w14:textId="77777777" w:rsidR="007157A6" w:rsidRPr="007157A6" w:rsidRDefault="007157A6" w:rsidP="007157A6">
            <w:pPr>
              <w:rPr>
                <w:lang w:val="en-GB"/>
              </w:rPr>
            </w:pPr>
          </w:p>
        </w:tc>
        <w:tc>
          <w:tcPr>
            <w:tcW w:w="3544" w:type="dxa"/>
          </w:tcPr>
          <w:p w14:paraId="3081ECC3" w14:textId="77777777" w:rsidR="007157A6" w:rsidRPr="007157A6" w:rsidRDefault="007157A6" w:rsidP="007157A6">
            <w:pPr>
              <w:rPr>
                <w:lang w:val="en-GB"/>
              </w:rPr>
            </w:pPr>
            <w:r w:rsidRPr="007157A6">
              <w:rPr>
                <w:lang w:val="en-GB"/>
              </w:rPr>
              <w:t>Level of ambition</w:t>
            </w:r>
          </w:p>
        </w:tc>
        <w:tc>
          <w:tcPr>
            <w:tcW w:w="446" w:type="dxa"/>
          </w:tcPr>
          <w:p w14:paraId="0364B2E2" w14:textId="77777777" w:rsidR="007157A6" w:rsidRPr="007157A6" w:rsidRDefault="007157A6" w:rsidP="007157A6">
            <w:pPr>
              <w:rPr>
                <w:lang w:val="en-GB"/>
              </w:rPr>
            </w:pPr>
          </w:p>
        </w:tc>
        <w:tc>
          <w:tcPr>
            <w:tcW w:w="447" w:type="dxa"/>
          </w:tcPr>
          <w:p w14:paraId="492F4ADD" w14:textId="77777777" w:rsidR="007157A6" w:rsidRPr="007157A6" w:rsidRDefault="007157A6" w:rsidP="007157A6">
            <w:pPr>
              <w:rPr>
                <w:lang w:val="en-GB"/>
              </w:rPr>
            </w:pPr>
          </w:p>
        </w:tc>
        <w:tc>
          <w:tcPr>
            <w:tcW w:w="446" w:type="dxa"/>
          </w:tcPr>
          <w:p w14:paraId="3657D40E" w14:textId="77777777" w:rsidR="007157A6" w:rsidRPr="007157A6" w:rsidRDefault="007157A6" w:rsidP="007157A6">
            <w:pPr>
              <w:rPr>
                <w:lang w:val="en-GB"/>
              </w:rPr>
            </w:pPr>
          </w:p>
        </w:tc>
        <w:tc>
          <w:tcPr>
            <w:tcW w:w="447" w:type="dxa"/>
          </w:tcPr>
          <w:p w14:paraId="626EF9C5" w14:textId="77777777" w:rsidR="007157A6" w:rsidRPr="007157A6" w:rsidRDefault="007157A6" w:rsidP="007157A6">
            <w:pPr>
              <w:rPr>
                <w:lang w:val="en-GB"/>
              </w:rPr>
            </w:pPr>
          </w:p>
        </w:tc>
        <w:tc>
          <w:tcPr>
            <w:tcW w:w="447" w:type="dxa"/>
          </w:tcPr>
          <w:p w14:paraId="5670EEDB" w14:textId="77777777" w:rsidR="007157A6" w:rsidRPr="007157A6" w:rsidRDefault="007157A6" w:rsidP="007157A6">
            <w:pPr>
              <w:rPr>
                <w:lang w:val="en-GB"/>
              </w:rPr>
            </w:pPr>
          </w:p>
        </w:tc>
      </w:tr>
      <w:tr w:rsidR="007157A6" w:rsidRPr="007157A6" w14:paraId="69E0BF46" w14:textId="77777777" w:rsidTr="00C850ED">
        <w:tc>
          <w:tcPr>
            <w:tcW w:w="8500" w:type="dxa"/>
            <w:vMerge/>
          </w:tcPr>
          <w:p w14:paraId="11EC1DF0" w14:textId="77777777" w:rsidR="007157A6" w:rsidRPr="007157A6" w:rsidRDefault="007157A6" w:rsidP="007157A6">
            <w:pPr>
              <w:rPr>
                <w:lang w:val="en-GB"/>
              </w:rPr>
            </w:pPr>
          </w:p>
        </w:tc>
        <w:tc>
          <w:tcPr>
            <w:tcW w:w="3544" w:type="dxa"/>
          </w:tcPr>
          <w:p w14:paraId="2A453936" w14:textId="77777777" w:rsidR="007157A6" w:rsidRPr="007157A6" w:rsidRDefault="007157A6" w:rsidP="007157A6">
            <w:pPr>
              <w:rPr>
                <w:lang w:val="en-GB"/>
              </w:rPr>
            </w:pPr>
            <w:r w:rsidRPr="007157A6">
              <w:rPr>
                <w:lang w:val="en-GB"/>
              </w:rPr>
              <w:t>Practicability</w:t>
            </w:r>
          </w:p>
        </w:tc>
        <w:tc>
          <w:tcPr>
            <w:tcW w:w="446" w:type="dxa"/>
          </w:tcPr>
          <w:p w14:paraId="3CB088DC" w14:textId="77777777" w:rsidR="007157A6" w:rsidRPr="007157A6" w:rsidRDefault="007157A6" w:rsidP="007157A6">
            <w:pPr>
              <w:rPr>
                <w:lang w:val="en-GB"/>
              </w:rPr>
            </w:pPr>
          </w:p>
        </w:tc>
        <w:tc>
          <w:tcPr>
            <w:tcW w:w="447" w:type="dxa"/>
          </w:tcPr>
          <w:p w14:paraId="5B7F3B42" w14:textId="77777777" w:rsidR="007157A6" w:rsidRPr="007157A6" w:rsidRDefault="007157A6" w:rsidP="007157A6">
            <w:pPr>
              <w:rPr>
                <w:lang w:val="en-GB"/>
              </w:rPr>
            </w:pPr>
          </w:p>
        </w:tc>
        <w:tc>
          <w:tcPr>
            <w:tcW w:w="446" w:type="dxa"/>
          </w:tcPr>
          <w:p w14:paraId="3B113CED" w14:textId="77777777" w:rsidR="007157A6" w:rsidRPr="007157A6" w:rsidRDefault="007157A6" w:rsidP="007157A6">
            <w:pPr>
              <w:rPr>
                <w:lang w:val="en-GB"/>
              </w:rPr>
            </w:pPr>
          </w:p>
        </w:tc>
        <w:tc>
          <w:tcPr>
            <w:tcW w:w="447" w:type="dxa"/>
          </w:tcPr>
          <w:p w14:paraId="1F5B23CB" w14:textId="77777777" w:rsidR="007157A6" w:rsidRPr="007157A6" w:rsidRDefault="007157A6" w:rsidP="007157A6">
            <w:pPr>
              <w:rPr>
                <w:lang w:val="en-GB"/>
              </w:rPr>
            </w:pPr>
          </w:p>
        </w:tc>
        <w:tc>
          <w:tcPr>
            <w:tcW w:w="447" w:type="dxa"/>
          </w:tcPr>
          <w:p w14:paraId="0678F878" w14:textId="77777777" w:rsidR="007157A6" w:rsidRPr="007157A6" w:rsidRDefault="007157A6" w:rsidP="007157A6">
            <w:pPr>
              <w:rPr>
                <w:lang w:val="en-GB"/>
              </w:rPr>
            </w:pPr>
          </w:p>
        </w:tc>
      </w:tr>
      <w:tr w:rsidR="007157A6" w:rsidRPr="007157A6" w14:paraId="78EAE60B" w14:textId="77777777" w:rsidTr="00C850ED">
        <w:tc>
          <w:tcPr>
            <w:tcW w:w="8500" w:type="dxa"/>
            <w:vMerge/>
          </w:tcPr>
          <w:p w14:paraId="6E16DCA9" w14:textId="77777777" w:rsidR="007157A6" w:rsidRPr="007157A6" w:rsidRDefault="007157A6" w:rsidP="007157A6">
            <w:pPr>
              <w:rPr>
                <w:lang w:val="en-GB"/>
              </w:rPr>
            </w:pPr>
          </w:p>
        </w:tc>
        <w:tc>
          <w:tcPr>
            <w:tcW w:w="3544" w:type="dxa"/>
          </w:tcPr>
          <w:p w14:paraId="7E1C1F60"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17EC99F1" w14:textId="77777777" w:rsidR="007157A6" w:rsidRPr="007157A6" w:rsidRDefault="007157A6" w:rsidP="007157A6">
            <w:pPr>
              <w:rPr>
                <w:lang w:val="en-GB"/>
              </w:rPr>
            </w:pPr>
          </w:p>
        </w:tc>
        <w:tc>
          <w:tcPr>
            <w:tcW w:w="447" w:type="dxa"/>
          </w:tcPr>
          <w:p w14:paraId="6ADA73F6" w14:textId="77777777" w:rsidR="007157A6" w:rsidRPr="007157A6" w:rsidRDefault="007157A6" w:rsidP="007157A6">
            <w:pPr>
              <w:rPr>
                <w:lang w:val="en-GB"/>
              </w:rPr>
            </w:pPr>
          </w:p>
        </w:tc>
        <w:tc>
          <w:tcPr>
            <w:tcW w:w="446" w:type="dxa"/>
          </w:tcPr>
          <w:p w14:paraId="599F9429" w14:textId="77777777" w:rsidR="007157A6" w:rsidRPr="007157A6" w:rsidRDefault="007157A6" w:rsidP="007157A6">
            <w:pPr>
              <w:rPr>
                <w:lang w:val="en-GB"/>
              </w:rPr>
            </w:pPr>
          </w:p>
        </w:tc>
        <w:tc>
          <w:tcPr>
            <w:tcW w:w="447" w:type="dxa"/>
          </w:tcPr>
          <w:p w14:paraId="5A03C308" w14:textId="77777777" w:rsidR="007157A6" w:rsidRPr="007157A6" w:rsidRDefault="007157A6" w:rsidP="007157A6">
            <w:pPr>
              <w:rPr>
                <w:lang w:val="en-GB"/>
              </w:rPr>
            </w:pPr>
          </w:p>
        </w:tc>
        <w:tc>
          <w:tcPr>
            <w:tcW w:w="447" w:type="dxa"/>
          </w:tcPr>
          <w:p w14:paraId="5D5DF773" w14:textId="77777777" w:rsidR="007157A6" w:rsidRPr="007157A6" w:rsidRDefault="007157A6" w:rsidP="007157A6">
            <w:pPr>
              <w:rPr>
                <w:lang w:val="en-GB"/>
              </w:rPr>
            </w:pPr>
          </w:p>
        </w:tc>
      </w:tr>
      <w:tr w:rsidR="007157A6" w:rsidRPr="007157A6" w14:paraId="7A7401F8" w14:textId="77777777" w:rsidTr="00C850ED">
        <w:tc>
          <w:tcPr>
            <w:tcW w:w="8500" w:type="dxa"/>
            <w:shd w:val="clear" w:color="auto" w:fill="D9D9D9" w:themeFill="background1" w:themeFillShade="D9"/>
          </w:tcPr>
          <w:p w14:paraId="66882A15"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0C34BA9" w14:textId="77777777" w:rsidR="007157A6" w:rsidRPr="007157A6" w:rsidRDefault="007157A6" w:rsidP="007157A6">
            <w:pPr>
              <w:rPr>
                <w:lang w:val="en-GB"/>
              </w:rPr>
            </w:pPr>
            <w:r w:rsidRPr="007157A6">
              <w:rPr>
                <w:b/>
                <w:lang w:val="en-GB"/>
              </w:rPr>
              <w:t>Evaluation category</w:t>
            </w:r>
          </w:p>
        </w:tc>
        <w:tc>
          <w:tcPr>
            <w:tcW w:w="446" w:type="dxa"/>
            <w:shd w:val="clear" w:color="auto" w:fill="D9D9D9" w:themeFill="background1" w:themeFillShade="D9"/>
          </w:tcPr>
          <w:p w14:paraId="2F3A58AE" w14:textId="77777777" w:rsidR="007157A6" w:rsidRPr="007157A6" w:rsidRDefault="007157A6" w:rsidP="007157A6">
            <w:pPr>
              <w:rPr>
                <w:lang w:val="en-GB"/>
              </w:rPr>
            </w:pPr>
            <w:r w:rsidRPr="007157A6">
              <w:rPr>
                <w:b/>
                <w:lang w:val="en-GB"/>
              </w:rPr>
              <w:t>5</w:t>
            </w:r>
          </w:p>
        </w:tc>
        <w:tc>
          <w:tcPr>
            <w:tcW w:w="447" w:type="dxa"/>
            <w:shd w:val="clear" w:color="auto" w:fill="D9D9D9" w:themeFill="background1" w:themeFillShade="D9"/>
          </w:tcPr>
          <w:p w14:paraId="6C68CD38" w14:textId="77777777" w:rsidR="007157A6" w:rsidRPr="007157A6" w:rsidRDefault="007157A6" w:rsidP="007157A6">
            <w:pPr>
              <w:rPr>
                <w:lang w:val="en-GB"/>
              </w:rPr>
            </w:pPr>
            <w:r w:rsidRPr="007157A6">
              <w:rPr>
                <w:b/>
                <w:lang w:val="en-GB"/>
              </w:rPr>
              <w:t>4</w:t>
            </w:r>
          </w:p>
        </w:tc>
        <w:tc>
          <w:tcPr>
            <w:tcW w:w="446" w:type="dxa"/>
            <w:shd w:val="clear" w:color="auto" w:fill="D9D9D9" w:themeFill="background1" w:themeFillShade="D9"/>
          </w:tcPr>
          <w:p w14:paraId="0B95DE86" w14:textId="77777777" w:rsidR="007157A6" w:rsidRPr="007157A6" w:rsidRDefault="007157A6" w:rsidP="007157A6">
            <w:pPr>
              <w:rPr>
                <w:lang w:val="en-GB"/>
              </w:rPr>
            </w:pPr>
            <w:r w:rsidRPr="007157A6">
              <w:rPr>
                <w:b/>
                <w:lang w:val="en-GB"/>
              </w:rPr>
              <w:t>3</w:t>
            </w:r>
          </w:p>
        </w:tc>
        <w:tc>
          <w:tcPr>
            <w:tcW w:w="447" w:type="dxa"/>
            <w:shd w:val="clear" w:color="auto" w:fill="D9D9D9" w:themeFill="background1" w:themeFillShade="D9"/>
          </w:tcPr>
          <w:p w14:paraId="0F8673DA" w14:textId="77777777" w:rsidR="007157A6" w:rsidRPr="007157A6" w:rsidRDefault="007157A6" w:rsidP="007157A6">
            <w:pPr>
              <w:rPr>
                <w:lang w:val="en-GB"/>
              </w:rPr>
            </w:pPr>
            <w:r w:rsidRPr="007157A6">
              <w:rPr>
                <w:b/>
                <w:lang w:val="en-GB"/>
              </w:rPr>
              <w:t>2</w:t>
            </w:r>
          </w:p>
        </w:tc>
        <w:tc>
          <w:tcPr>
            <w:tcW w:w="447" w:type="dxa"/>
            <w:shd w:val="clear" w:color="auto" w:fill="D9D9D9" w:themeFill="background1" w:themeFillShade="D9"/>
          </w:tcPr>
          <w:p w14:paraId="34173C60" w14:textId="77777777" w:rsidR="007157A6" w:rsidRPr="007157A6" w:rsidRDefault="007157A6" w:rsidP="007157A6">
            <w:pPr>
              <w:rPr>
                <w:lang w:val="en-GB"/>
              </w:rPr>
            </w:pPr>
            <w:r w:rsidRPr="007157A6">
              <w:rPr>
                <w:b/>
                <w:lang w:val="en-GB"/>
              </w:rPr>
              <w:t>1</w:t>
            </w:r>
          </w:p>
        </w:tc>
      </w:tr>
      <w:tr w:rsidR="007157A6" w:rsidRPr="007157A6" w14:paraId="08E2DCA7" w14:textId="77777777" w:rsidTr="00C850ED">
        <w:tc>
          <w:tcPr>
            <w:tcW w:w="8500" w:type="dxa"/>
            <w:vMerge w:val="restart"/>
          </w:tcPr>
          <w:p w14:paraId="4F7C71CB" w14:textId="77777777" w:rsidR="007157A6" w:rsidRPr="007157A6" w:rsidRDefault="007157A6" w:rsidP="007157A6">
            <w:pPr>
              <w:rPr>
                <w:lang w:val="en-GB"/>
              </w:rPr>
            </w:pPr>
            <w:r w:rsidRPr="007157A6">
              <w:rPr>
                <w:lang w:val="en-GB"/>
              </w:rPr>
              <w:t>Establish a point of contact which offers decision-making assistance in specific cases where sustainability goals contradict each other. Such an office could be located within the permanent working structure of the Sustainable Finance Committee (see section 1.2).</w:t>
            </w:r>
          </w:p>
        </w:tc>
        <w:tc>
          <w:tcPr>
            <w:tcW w:w="3544" w:type="dxa"/>
          </w:tcPr>
          <w:p w14:paraId="74264565" w14:textId="77777777" w:rsidR="007157A6" w:rsidRPr="007157A6" w:rsidRDefault="007157A6" w:rsidP="007157A6">
            <w:pPr>
              <w:rPr>
                <w:lang w:val="en-GB"/>
              </w:rPr>
            </w:pPr>
            <w:r w:rsidRPr="007157A6">
              <w:rPr>
                <w:lang w:val="en-GB"/>
              </w:rPr>
              <w:t>Will foster Sustainable Finance in Germany</w:t>
            </w:r>
          </w:p>
        </w:tc>
        <w:tc>
          <w:tcPr>
            <w:tcW w:w="446" w:type="dxa"/>
          </w:tcPr>
          <w:p w14:paraId="7B412CEC" w14:textId="77777777" w:rsidR="007157A6" w:rsidRPr="007157A6" w:rsidRDefault="007157A6" w:rsidP="007157A6">
            <w:pPr>
              <w:rPr>
                <w:lang w:val="en-GB"/>
              </w:rPr>
            </w:pPr>
          </w:p>
        </w:tc>
        <w:tc>
          <w:tcPr>
            <w:tcW w:w="447" w:type="dxa"/>
          </w:tcPr>
          <w:p w14:paraId="0E65560B" w14:textId="77777777" w:rsidR="007157A6" w:rsidRPr="007157A6" w:rsidRDefault="007157A6" w:rsidP="007157A6">
            <w:pPr>
              <w:rPr>
                <w:lang w:val="en-GB"/>
              </w:rPr>
            </w:pPr>
          </w:p>
        </w:tc>
        <w:tc>
          <w:tcPr>
            <w:tcW w:w="446" w:type="dxa"/>
          </w:tcPr>
          <w:p w14:paraId="60A2A4A8" w14:textId="77777777" w:rsidR="007157A6" w:rsidRPr="007157A6" w:rsidRDefault="007157A6" w:rsidP="007157A6">
            <w:pPr>
              <w:rPr>
                <w:lang w:val="en-GB"/>
              </w:rPr>
            </w:pPr>
          </w:p>
        </w:tc>
        <w:tc>
          <w:tcPr>
            <w:tcW w:w="447" w:type="dxa"/>
          </w:tcPr>
          <w:p w14:paraId="5A93B7DE" w14:textId="77777777" w:rsidR="007157A6" w:rsidRPr="007157A6" w:rsidRDefault="007157A6" w:rsidP="007157A6">
            <w:pPr>
              <w:rPr>
                <w:lang w:val="en-GB"/>
              </w:rPr>
            </w:pPr>
          </w:p>
        </w:tc>
        <w:tc>
          <w:tcPr>
            <w:tcW w:w="447" w:type="dxa"/>
          </w:tcPr>
          <w:p w14:paraId="70019CA2" w14:textId="77777777" w:rsidR="007157A6" w:rsidRPr="007157A6" w:rsidRDefault="007157A6" w:rsidP="007157A6">
            <w:pPr>
              <w:rPr>
                <w:lang w:val="en-GB"/>
              </w:rPr>
            </w:pPr>
          </w:p>
        </w:tc>
      </w:tr>
      <w:tr w:rsidR="007157A6" w:rsidRPr="007157A6" w14:paraId="356B60E8" w14:textId="77777777" w:rsidTr="00C850ED">
        <w:tc>
          <w:tcPr>
            <w:tcW w:w="8500" w:type="dxa"/>
            <w:vMerge/>
          </w:tcPr>
          <w:p w14:paraId="0237B86E" w14:textId="77777777" w:rsidR="007157A6" w:rsidRPr="007157A6" w:rsidRDefault="007157A6" w:rsidP="007157A6">
            <w:pPr>
              <w:rPr>
                <w:lang w:val="en-GB"/>
              </w:rPr>
            </w:pPr>
          </w:p>
        </w:tc>
        <w:tc>
          <w:tcPr>
            <w:tcW w:w="3544" w:type="dxa"/>
          </w:tcPr>
          <w:p w14:paraId="2EAB0B8F" w14:textId="77777777" w:rsidR="007157A6" w:rsidRPr="007157A6" w:rsidRDefault="007157A6" w:rsidP="007157A6">
            <w:pPr>
              <w:rPr>
                <w:lang w:val="en-GB"/>
              </w:rPr>
            </w:pPr>
            <w:r w:rsidRPr="007157A6">
              <w:rPr>
                <w:lang w:val="en-GB"/>
              </w:rPr>
              <w:t>Level of ambition</w:t>
            </w:r>
          </w:p>
        </w:tc>
        <w:tc>
          <w:tcPr>
            <w:tcW w:w="446" w:type="dxa"/>
          </w:tcPr>
          <w:p w14:paraId="72E73E3F" w14:textId="77777777" w:rsidR="007157A6" w:rsidRPr="007157A6" w:rsidRDefault="007157A6" w:rsidP="007157A6">
            <w:pPr>
              <w:rPr>
                <w:lang w:val="en-GB"/>
              </w:rPr>
            </w:pPr>
          </w:p>
        </w:tc>
        <w:tc>
          <w:tcPr>
            <w:tcW w:w="447" w:type="dxa"/>
          </w:tcPr>
          <w:p w14:paraId="2C4BEACD" w14:textId="77777777" w:rsidR="007157A6" w:rsidRPr="007157A6" w:rsidRDefault="007157A6" w:rsidP="007157A6">
            <w:pPr>
              <w:rPr>
                <w:lang w:val="en-GB"/>
              </w:rPr>
            </w:pPr>
          </w:p>
        </w:tc>
        <w:tc>
          <w:tcPr>
            <w:tcW w:w="446" w:type="dxa"/>
          </w:tcPr>
          <w:p w14:paraId="777B944F" w14:textId="77777777" w:rsidR="007157A6" w:rsidRPr="007157A6" w:rsidRDefault="007157A6" w:rsidP="007157A6">
            <w:pPr>
              <w:rPr>
                <w:lang w:val="en-GB"/>
              </w:rPr>
            </w:pPr>
          </w:p>
        </w:tc>
        <w:tc>
          <w:tcPr>
            <w:tcW w:w="447" w:type="dxa"/>
          </w:tcPr>
          <w:p w14:paraId="5AF592BC" w14:textId="77777777" w:rsidR="007157A6" w:rsidRPr="007157A6" w:rsidRDefault="007157A6" w:rsidP="007157A6">
            <w:pPr>
              <w:rPr>
                <w:lang w:val="en-GB"/>
              </w:rPr>
            </w:pPr>
          </w:p>
        </w:tc>
        <w:tc>
          <w:tcPr>
            <w:tcW w:w="447" w:type="dxa"/>
          </w:tcPr>
          <w:p w14:paraId="1A0B0FD7" w14:textId="77777777" w:rsidR="007157A6" w:rsidRPr="007157A6" w:rsidRDefault="007157A6" w:rsidP="007157A6">
            <w:pPr>
              <w:rPr>
                <w:lang w:val="en-GB"/>
              </w:rPr>
            </w:pPr>
          </w:p>
        </w:tc>
      </w:tr>
      <w:tr w:rsidR="007157A6" w:rsidRPr="007157A6" w14:paraId="7E6BCBDC" w14:textId="77777777" w:rsidTr="00C850ED">
        <w:tc>
          <w:tcPr>
            <w:tcW w:w="8500" w:type="dxa"/>
            <w:vMerge/>
          </w:tcPr>
          <w:p w14:paraId="737167CA" w14:textId="77777777" w:rsidR="007157A6" w:rsidRPr="007157A6" w:rsidRDefault="007157A6" w:rsidP="007157A6">
            <w:pPr>
              <w:rPr>
                <w:lang w:val="en-GB"/>
              </w:rPr>
            </w:pPr>
          </w:p>
        </w:tc>
        <w:tc>
          <w:tcPr>
            <w:tcW w:w="3544" w:type="dxa"/>
          </w:tcPr>
          <w:p w14:paraId="60A7A379" w14:textId="77777777" w:rsidR="007157A6" w:rsidRPr="007157A6" w:rsidRDefault="007157A6" w:rsidP="007157A6">
            <w:pPr>
              <w:rPr>
                <w:lang w:val="en-GB"/>
              </w:rPr>
            </w:pPr>
            <w:r w:rsidRPr="007157A6">
              <w:rPr>
                <w:lang w:val="en-GB"/>
              </w:rPr>
              <w:t>Practicability</w:t>
            </w:r>
          </w:p>
        </w:tc>
        <w:tc>
          <w:tcPr>
            <w:tcW w:w="446" w:type="dxa"/>
          </w:tcPr>
          <w:p w14:paraId="1A3732CC" w14:textId="77777777" w:rsidR="007157A6" w:rsidRPr="007157A6" w:rsidRDefault="007157A6" w:rsidP="007157A6">
            <w:pPr>
              <w:rPr>
                <w:lang w:val="en-GB"/>
              </w:rPr>
            </w:pPr>
          </w:p>
        </w:tc>
        <w:tc>
          <w:tcPr>
            <w:tcW w:w="447" w:type="dxa"/>
          </w:tcPr>
          <w:p w14:paraId="52A48DC8" w14:textId="77777777" w:rsidR="007157A6" w:rsidRPr="007157A6" w:rsidRDefault="007157A6" w:rsidP="007157A6">
            <w:pPr>
              <w:rPr>
                <w:lang w:val="en-GB"/>
              </w:rPr>
            </w:pPr>
          </w:p>
        </w:tc>
        <w:tc>
          <w:tcPr>
            <w:tcW w:w="446" w:type="dxa"/>
          </w:tcPr>
          <w:p w14:paraId="0DE00B0D" w14:textId="77777777" w:rsidR="007157A6" w:rsidRPr="007157A6" w:rsidRDefault="007157A6" w:rsidP="007157A6">
            <w:pPr>
              <w:rPr>
                <w:lang w:val="en-GB"/>
              </w:rPr>
            </w:pPr>
          </w:p>
        </w:tc>
        <w:tc>
          <w:tcPr>
            <w:tcW w:w="447" w:type="dxa"/>
          </w:tcPr>
          <w:p w14:paraId="67149995" w14:textId="77777777" w:rsidR="007157A6" w:rsidRPr="007157A6" w:rsidRDefault="007157A6" w:rsidP="007157A6">
            <w:pPr>
              <w:rPr>
                <w:lang w:val="en-GB"/>
              </w:rPr>
            </w:pPr>
          </w:p>
        </w:tc>
        <w:tc>
          <w:tcPr>
            <w:tcW w:w="447" w:type="dxa"/>
          </w:tcPr>
          <w:p w14:paraId="1C54DB3F" w14:textId="77777777" w:rsidR="007157A6" w:rsidRPr="007157A6" w:rsidRDefault="007157A6" w:rsidP="007157A6">
            <w:pPr>
              <w:rPr>
                <w:lang w:val="en-GB"/>
              </w:rPr>
            </w:pPr>
          </w:p>
        </w:tc>
      </w:tr>
      <w:tr w:rsidR="007157A6" w:rsidRPr="007157A6" w14:paraId="073068F7" w14:textId="77777777" w:rsidTr="00C850ED">
        <w:tc>
          <w:tcPr>
            <w:tcW w:w="8500" w:type="dxa"/>
            <w:vMerge/>
          </w:tcPr>
          <w:p w14:paraId="0878BE2C" w14:textId="77777777" w:rsidR="007157A6" w:rsidRPr="007157A6" w:rsidRDefault="007157A6" w:rsidP="007157A6">
            <w:pPr>
              <w:rPr>
                <w:lang w:val="en-GB"/>
              </w:rPr>
            </w:pPr>
          </w:p>
        </w:tc>
        <w:tc>
          <w:tcPr>
            <w:tcW w:w="3544" w:type="dxa"/>
          </w:tcPr>
          <w:p w14:paraId="1B244C38" w14:textId="77777777" w:rsidR="007157A6" w:rsidRPr="007157A6" w:rsidRDefault="007157A6" w:rsidP="007157A6">
            <w:pPr>
              <w:rPr>
                <w:lang w:val="en-GB"/>
              </w:rPr>
            </w:pPr>
            <w:r w:rsidRPr="007157A6">
              <w:rPr>
                <w:lang w:val="en-GB"/>
              </w:rPr>
              <w:t>Coherence with existing/planned regulation (including EU law)</w:t>
            </w:r>
          </w:p>
        </w:tc>
        <w:tc>
          <w:tcPr>
            <w:tcW w:w="446" w:type="dxa"/>
          </w:tcPr>
          <w:p w14:paraId="5A8CB697" w14:textId="77777777" w:rsidR="007157A6" w:rsidRPr="007157A6" w:rsidRDefault="007157A6" w:rsidP="007157A6">
            <w:pPr>
              <w:rPr>
                <w:lang w:val="en-GB"/>
              </w:rPr>
            </w:pPr>
          </w:p>
        </w:tc>
        <w:tc>
          <w:tcPr>
            <w:tcW w:w="447" w:type="dxa"/>
          </w:tcPr>
          <w:p w14:paraId="6345AC2D" w14:textId="77777777" w:rsidR="007157A6" w:rsidRPr="007157A6" w:rsidRDefault="007157A6" w:rsidP="007157A6">
            <w:pPr>
              <w:rPr>
                <w:lang w:val="en-GB"/>
              </w:rPr>
            </w:pPr>
          </w:p>
        </w:tc>
        <w:tc>
          <w:tcPr>
            <w:tcW w:w="446" w:type="dxa"/>
          </w:tcPr>
          <w:p w14:paraId="02EB14B7" w14:textId="77777777" w:rsidR="007157A6" w:rsidRPr="007157A6" w:rsidRDefault="007157A6" w:rsidP="007157A6">
            <w:pPr>
              <w:rPr>
                <w:lang w:val="en-GB"/>
              </w:rPr>
            </w:pPr>
          </w:p>
        </w:tc>
        <w:tc>
          <w:tcPr>
            <w:tcW w:w="447" w:type="dxa"/>
          </w:tcPr>
          <w:p w14:paraId="0F866635" w14:textId="77777777" w:rsidR="007157A6" w:rsidRPr="007157A6" w:rsidRDefault="007157A6" w:rsidP="007157A6">
            <w:pPr>
              <w:rPr>
                <w:lang w:val="en-GB"/>
              </w:rPr>
            </w:pPr>
          </w:p>
        </w:tc>
        <w:tc>
          <w:tcPr>
            <w:tcW w:w="447" w:type="dxa"/>
          </w:tcPr>
          <w:p w14:paraId="320BBBCD" w14:textId="77777777" w:rsidR="007157A6" w:rsidRPr="007157A6" w:rsidRDefault="007157A6" w:rsidP="007157A6">
            <w:pPr>
              <w:rPr>
                <w:lang w:val="en-GB"/>
              </w:rPr>
            </w:pPr>
          </w:p>
        </w:tc>
      </w:tr>
    </w:tbl>
    <w:p w14:paraId="673775C3" w14:textId="77777777" w:rsidR="007157A6" w:rsidRPr="007157A6" w:rsidRDefault="007157A6" w:rsidP="00C850ED">
      <w:pPr>
        <w:spacing w:after="0"/>
        <w:rPr>
          <w:sz w:val="14"/>
          <w:lang w:val="en-GB"/>
        </w:rPr>
      </w:pPr>
    </w:p>
    <w:p w14:paraId="55ADB638" w14:textId="77777777" w:rsidR="007157A6" w:rsidRPr="007157A6" w:rsidRDefault="007157A6" w:rsidP="007157A6">
      <w:pPr>
        <w:numPr>
          <w:ilvl w:val="0"/>
          <w:numId w:val="3"/>
        </w:numPr>
        <w:contextualSpacing/>
        <w:rPr>
          <w:lang w:val="en-GB"/>
        </w:rPr>
      </w:pPr>
      <w:r w:rsidRPr="007157A6">
        <w:rPr>
          <w:lang w:val="en-GB"/>
        </w:rPr>
        <w:t>Are there specific additional aspects that should be covered in corporate reporting? If yes, what are they?</w:t>
      </w:r>
    </w:p>
    <w:p w14:paraId="04347044" w14:textId="77777777" w:rsidR="007157A6" w:rsidRPr="007157A6" w:rsidRDefault="007157A6" w:rsidP="00C850ED">
      <w:pPr>
        <w:spacing w:after="120"/>
        <w:rPr>
          <w:lang w:val="en-GB"/>
        </w:rPr>
      </w:pPr>
      <w:r w:rsidRPr="007157A6">
        <w:rPr>
          <w:noProof/>
          <w:lang w:eastAsia="de-DE"/>
        </w:rPr>
        <mc:AlternateContent>
          <mc:Choice Requires="wps">
            <w:drawing>
              <wp:anchor distT="0" distB="0" distL="114300" distR="114300" simplePos="0" relativeHeight="251665408" behindDoc="0" locked="0" layoutInCell="1" allowOverlap="1" wp14:anchorId="04F0FF37" wp14:editId="2C7B8180">
                <wp:simplePos x="0" y="0"/>
                <wp:positionH relativeFrom="column">
                  <wp:posOffset>0</wp:posOffset>
                </wp:positionH>
                <wp:positionV relativeFrom="paragraph">
                  <wp:posOffset>37465</wp:posOffset>
                </wp:positionV>
                <wp:extent cx="4460240" cy="254000"/>
                <wp:effectExtent l="0" t="0" r="1651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45700ED6"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3C876" id="_x0000_s1029" type="#_x0000_t202" style="position:absolute;margin-left:0;margin-top:2.95pt;width:351.2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6AC3A616" w14:textId="77777777" w:rsidR="007157A6" w:rsidRPr="007157A6" w:rsidRDefault="007157A6" w:rsidP="00C850ED">
      <w:pPr>
        <w:spacing w:after="0"/>
        <w:ind w:left="360"/>
        <w:contextualSpacing/>
        <w:rPr>
          <w:sz w:val="18"/>
          <w:lang w:val="en-GB"/>
        </w:rPr>
      </w:pPr>
    </w:p>
    <w:p w14:paraId="6EC77B79" w14:textId="77777777" w:rsidR="007157A6" w:rsidRPr="007157A6" w:rsidRDefault="007157A6" w:rsidP="007157A6">
      <w:pPr>
        <w:numPr>
          <w:ilvl w:val="0"/>
          <w:numId w:val="3"/>
        </w:numPr>
        <w:contextualSpacing/>
        <w:rPr>
          <w:lang w:val="en-GB"/>
        </w:rPr>
      </w:pPr>
      <w:r w:rsidRPr="007157A6">
        <w:rPr>
          <w:lang w:val="en-GB"/>
        </w:rPr>
        <w:t>How can the comparability of scenarios used for scenario analysis be improved? How can it be ensured that they fit the specific circumstances of a given company while being meaningful?</w:t>
      </w:r>
    </w:p>
    <w:p w14:paraId="75D8B6DB" w14:textId="77777777" w:rsidR="007157A6" w:rsidRPr="007157A6" w:rsidRDefault="007157A6" w:rsidP="007157A6">
      <w:pPr>
        <w:ind w:left="360"/>
        <w:contextualSpacing/>
        <w:rPr>
          <w:lang w:val="en-GB"/>
        </w:rPr>
      </w:pPr>
      <w:r w:rsidRPr="007157A6">
        <w:rPr>
          <w:noProof/>
          <w:lang w:eastAsia="de-DE"/>
        </w:rPr>
        <mc:AlternateContent>
          <mc:Choice Requires="wps">
            <w:drawing>
              <wp:anchor distT="0" distB="0" distL="114300" distR="114300" simplePos="0" relativeHeight="251666432" behindDoc="0" locked="0" layoutInCell="1" allowOverlap="1" wp14:anchorId="1923DEE6" wp14:editId="102AD767">
                <wp:simplePos x="0" y="0"/>
                <wp:positionH relativeFrom="column">
                  <wp:posOffset>0</wp:posOffset>
                </wp:positionH>
                <wp:positionV relativeFrom="paragraph">
                  <wp:posOffset>66675</wp:posOffset>
                </wp:positionV>
                <wp:extent cx="4460240" cy="254000"/>
                <wp:effectExtent l="0" t="0" r="16510" b="1270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544BDDF5" w14:textId="77777777" w:rsidR="00396D4C" w:rsidRPr="00396D4C" w:rsidRDefault="00396D4C" w:rsidP="00396D4C">
                            <w:r w:rsidRPr="00396D4C">
                              <w:t xml:space="preserve">Text Box (max. </w:t>
                            </w:r>
                            <w:r w:rsidRPr="00396D4C">
                              <w:t>1500 characters)</w:t>
                            </w:r>
                          </w:p>
                          <w:p w14:paraId="7D8EEED2" w14:textId="77777777" w:rsidR="00C850ED" w:rsidRDefault="00C850ED" w:rsidP="00715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E47A3" id="_x0000_s1030" type="#_x0000_t202" style="position:absolute;left:0;text-align:left;margin-left:0;margin-top:5.25pt;width:351.2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">
                <v:textbox>
                  <w:txbxContent>
                    <w:p w:rsidR="00396D4C" w:rsidRPr="00396D4C" w:rsidRDefault="00396D4C" w:rsidP="00396D4C">
                      <w:r w:rsidRPr="00396D4C">
                        <w:t xml:space="preserve">Text Box (max. 1500 </w:t>
                      </w:r>
                      <w:proofErr w:type="spellStart"/>
                      <w:r w:rsidRPr="00396D4C">
                        <w:t>characters</w:t>
                      </w:r>
                      <w:proofErr w:type="spellEnd"/>
                      <w:r w:rsidRPr="00396D4C">
                        <w:t>)</w:t>
                      </w:r>
                    </w:p>
                    <w:p w:rsidR="00C850ED" w:rsidRDefault="00C850ED" w:rsidP="007157A6"/>
                  </w:txbxContent>
                </v:textbox>
              </v:shape>
            </w:pict>
          </mc:Fallback>
        </mc:AlternateContent>
      </w:r>
    </w:p>
    <w:p w14:paraId="15EBF0F6" w14:textId="77777777" w:rsidR="007157A6" w:rsidRPr="007157A6" w:rsidRDefault="007157A6" w:rsidP="007157A6">
      <w:pPr>
        <w:rPr>
          <w:lang w:val="en-GB"/>
        </w:rPr>
      </w:pPr>
    </w:p>
    <w:p w14:paraId="1787DB85" w14:textId="77777777" w:rsidR="007157A6" w:rsidRPr="007157A6" w:rsidRDefault="007157A6" w:rsidP="007157A6">
      <w:pPr>
        <w:numPr>
          <w:ilvl w:val="0"/>
          <w:numId w:val="3"/>
        </w:numPr>
        <w:contextualSpacing/>
        <w:rPr>
          <w:lang w:val="en-GB"/>
        </w:rPr>
      </w:pPr>
      <w:r w:rsidRPr="007157A6">
        <w:rPr>
          <w:lang w:val="en-GB"/>
        </w:rPr>
        <w:t xml:space="preserve">Who should be responsible for developing basis scenarios with </w:t>
      </w:r>
      <w:r w:rsidR="00C850ED" w:rsidRPr="007157A6">
        <w:rPr>
          <w:lang w:val="en-GB"/>
        </w:rPr>
        <w:t>sector</w:t>
      </w:r>
      <w:r w:rsidRPr="007157A6">
        <w:rPr>
          <w:lang w:val="en-GB"/>
        </w:rPr>
        <w:t xml:space="preserve"> development pathways and stress scenarios? How should they be developed? </w:t>
      </w:r>
    </w:p>
    <w:p w14:paraId="51FD421A" w14:textId="77777777" w:rsidR="007157A6" w:rsidRPr="007157A6" w:rsidRDefault="007157A6" w:rsidP="007157A6">
      <w:pPr>
        <w:ind w:left="360"/>
        <w:contextualSpacing/>
        <w:rPr>
          <w:lang w:val="en-GB"/>
        </w:rPr>
      </w:pPr>
      <w:r w:rsidRPr="007157A6">
        <w:rPr>
          <w:noProof/>
          <w:lang w:eastAsia="de-DE"/>
        </w:rPr>
        <mc:AlternateContent>
          <mc:Choice Requires="wps">
            <w:drawing>
              <wp:anchor distT="0" distB="0" distL="114300" distR="114300" simplePos="0" relativeHeight="251667456" behindDoc="0" locked="0" layoutInCell="1" allowOverlap="1" wp14:anchorId="56964696" wp14:editId="5E1EBCDC">
                <wp:simplePos x="0" y="0"/>
                <wp:positionH relativeFrom="column">
                  <wp:posOffset>0</wp:posOffset>
                </wp:positionH>
                <wp:positionV relativeFrom="paragraph">
                  <wp:posOffset>88900</wp:posOffset>
                </wp:positionV>
                <wp:extent cx="4460240" cy="254000"/>
                <wp:effectExtent l="0" t="0" r="16510" b="127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3EFDE101"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5A994" id="_x0000_s1031" type="#_x0000_t202" style="position:absolute;left:0;text-align:left;margin-left:0;margin-top:7pt;width:351.2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7BDDAF8A" w14:textId="77777777" w:rsidR="007157A6" w:rsidRPr="007157A6" w:rsidRDefault="007157A6" w:rsidP="007157A6">
      <w:pPr>
        <w:ind w:left="720"/>
        <w:contextualSpacing/>
        <w:rPr>
          <w:lang w:val="en-GB"/>
        </w:rPr>
      </w:pPr>
    </w:p>
    <w:p w14:paraId="02A44802" w14:textId="77777777" w:rsidR="007157A6" w:rsidRPr="007157A6" w:rsidRDefault="007157A6" w:rsidP="007157A6">
      <w:pPr>
        <w:ind w:left="360"/>
        <w:contextualSpacing/>
        <w:rPr>
          <w:sz w:val="14"/>
          <w:lang w:val="en-GB"/>
        </w:rPr>
      </w:pPr>
    </w:p>
    <w:p w14:paraId="736B2667" w14:textId="77777777" w:rsidR="007157A6" w:rsidRPr="007157A6" w:rsidRDefault="007157A6" w:rsidP="007157A6">
      <w:pPr>
        <w:numPr>
          <w:ilvl w:val="0"/>
          <w:numId w:val="3"/>
        </w:numPr>
        <w:contextualSpacing/>
        <w:rPr>
          <w:lang w:val="en-GB"/>
        </w:rPr>
      </w:pPr>
      <w:r w:rsidRPr="007157A6">
        <w:rPr>
          <w:lang w:val="en-GB"/>
        </w:rPr>
        <w:t xml:space="preserve">Is national regulation helpful in developing basis scenarios with </w:t>
      </w:r>
      <w:r w:rsidR="00C850ED" w:rsidRPr="007157A6">
        <w:rPr>
          <w:lang w:val="en-GB"/>
        </w:rPr>
        <w:t>sector</w:t>
      </w:r>
      <w:r w:rsidRPr="007157A6">
        <w:rPr>
          <w:lang w:val="en-GB"/>
        </w:rPr>
        <w:t xml:space="preserve"> development pathways?</w:t>
      </w:r>
    </w:p>
    <w:p w14:paraId="70AD27AA" w14:textId="77777777" w:rsidR="007157A6" w:rsidRDefault="007157A6" w:rsidP="007157A6">
      <w:pPr>
        <w:numPr>
          <w:ilvl w:val="1"/>
          <w:numId w:val="3"/>
        </w:numPr>
        <w:contextualSpacing/>
        <w:rPr>
          <w:lang w:val="en-GB"/>
        </w:rPr>
      </w:pPr>
      <w:r w:rsidRPr="007157A6">
        <w:rPr>
          <w:lang w:val="en-GB"/>
        </w:rPr>
        <w:t xml:space="preserve">Yes / No </w:t>
      </w:r>
    </w:p>
    <w:p w14:paraId="3DD7AB68" w14:textId="77777777" w:rsidR="00C850ED" w:rsidRPr="007157A6" w:rsidRDefault="00C850ED" w:rsidP="00C850ED">
      <w:pPr>
        <w:spacing w:after="0"/>
        <w:ind w:left="1080"/>
        <w:contextualSpacing/>
        <w:rPr>
          <w:sz w:val="16"/>
          <w:lang w:val="en-GB"/>
        </w:rPr>
      </w:pPr>
    </w:p>
    <w:p w14:paraId="15D777FF" w14:textId="77777777" w:rsidR="007157A6" w:rsidRPr="007157A6" w:rsidRDefault="007157A6" w:rsidP="007157A6">
      <w:pPr>
        <w:numPr>
          <w:ilvl w:val="0"/>
          <w:numId w:val="3"/>
        </w:numPr>
        <w:contextualSpacing/>
        <w:rPr>
          <w:lang w:val="en-GB"/>
        </w:rPr>
      </w:pPr>
      <w:r w:rsidRPr="007157A6">
        <w:rPr>
          <w:lang w:val="en-GB"/>
        </w:rPr>
        <w:t>How can the Federal Government foster the further development of standardised impact measurement methods?</w:t>
      </w:r>
    </w:p>
    <w:p w14:paraId="0623227E" w14:textId="77777777" w:rsidR="007157A6" w:rsidRPr="007157A6" w:rsidRDefault="007157A6" w:rsidP="007157A6">
      <w:pPr>
        <w:numPr>
          <w:ilvl w:val="2"/>
          <w:numId w:val="3"/>
        </w:numPr>
        <w:contextualSpacing/>
        <w:rPr>
          <w:lang w:val="en-GB"/>
        </w:rPr>
      </w:pPr>
      <w:r w:rsidRPr="007157A6">
        <w:rPr>
          <w:lang w:val="en-GB"/>
        </w:rPr>
        <w:t>Not at all</w:t>
      </w:r>
    </w:p>
    <w:p w14:paraId="0CEEFFBD" w14:textId="77777777" w:rsidR="007157A6" w:rsidRPr="007157A6" w:rsidRDefault="007157A6" w:rsidP="007157A6">
      <w:pPr>
        <w:numPr>
          <w:ilvl w:val="2"/>
          <w:numId w:val="3"/>
        </w:numPr>
        <w:contextualSpacing/>
        <w:rPr>
          <w:lang w:val="en-GB"/>
        </w:rPr>
      </w:pPr>
      <w:r w:rsidRPr="007157A6">
        <w:rPr>
          <w:lang w:val="en-GB"/>
        </w:rPr>
        <w:t>Research funding</w:t>
      </w:r>
    </w:p>
    <w:p w14:paraId="47D59F78" w14:textId="77777777" w:rsidR="007157A6" w:rsidRPr="007157A6" w:rsidRDefault="007157A6" w:rsidP="007157A6">
      <w:pPr>
        <w:numPr>
          <w:ilvl w:val="2"/>
          <w:numId w:val="3"/>
        </w:numPr>
        <w:contextualSpacing/>
        <w:rPr>
          <w:lang w:val="en-GB"/>
        </w:rPr>
      </w:pPr>
      <w:r w:rsidRPr="007157A6">
        <w:rPr>
          <w:lang w:val="en-GB"/>
        </w:rPr>
        <w:t>International cooperation in setting respective standards</w:t>
      </w:r>
    </w:p>
    <w:p w14:paraId="6953A611" w14:textId="77777777" w:rsidR="007157A6" w:rsidRPr="007157A6" w:rsidRDefault="007157A6" w:rsidP="007157A6">
      <w:pPr>
        <w:numPr>
          <w:ilvl w:val="2"/>
          <w:numId w:val="3"/>
        </w:numPr>
        <w:contextualSpacing/>
        <w:rPr>
          <w:lang w:val="en-GB"/>
        </w:rPr>
      </w:pPr>
      <w:r w:rsidRPr="007157A6">
        <w:rPr>
          <w:lang w:val="en-GB"/>
        </w:rPr>
        <w:t xml:space="preserve">Use the Sustainable Finance Committee’s permanent working structure </w:t>
      </w:r>
    </w:p>
    <w:p w14:paraId="4916D475" w14:textId="77777777" w:rsidR="007157A6" w:rsidRDefault="007157A6" w:rsidP="007157A6">
      <w:pPr>
        <w:numPr>
          <w:ilvl w:val="2"/>
          <w:numId w:val="3"/>
        </w:numPr>
        <w:contextualSpacing/>
        <w:rPr>
          <w:lang w:val="en-GB"/>
        </w:rPr>
      </w:pPr>
      <w:r w:rsidRPr="007157A6">
        <w:rPr>
          <w:lang w:val="en-GB"/>
        </w:rPr>
        <w:t>Other: ______________</w:t>
      </w:r>
    </w:p>
    <w:p w14:paraId="0BE17721" w14:textId="77777777" w:rsidR="007157A6" w:rsidRPr="007157A6" w:rsidRDefault="007157A6" w:rsidP="007157A6">
      <w:pPr>
        <w:numPr>
          <w:ilvl w:val="0"/>
          <w:numId w:val="3"/>
        </w:numPr>
        <w:contextualSpacing/>
        <w:rPr>
          <w:lang w:val="en-GB"/>
        </w:rPr>
      </w:pPr>
      <w:r w:rsidRPr="007157A6">
        <w:rPr>
          <w:lang w:val="en-GB"/>
        </w:rPr>
        <w:lastRenderedPageBreak/>
        <w:t>Which sustainability data should be taken into account by creditors (e.g. private banks) in respect of loans and investments?</w:t>
      </w:r>
    </w:p>
    <w:p w14:paraId="63A3F2AB" w14:textId="77777777" w:rsidR="007157A6" w:rsidRPr="007157A6" w:rsidRDefault="007157A6" w:rsidP="007157A6">
      <w:pPr>
        <w:numPr>
          <w:ilvl w:val="1"/>
          <w:numId w:val="3"/>
        </w:numPr>
        <w:contextualSpacing/>
        <w:rPr>
          <w:lang w:val="en-GB"/>
        </w:rPr>
      </w:pPr>
      <w:r w:rsidRPr="007157A6">
        <w:rPr>
          <w:lang w:val="en-GB"/>
        </w:rPr>
        <w:t xml:space="preserve"> (multiple answers allowed)</w:t>
      </w:r>
    </w:p>
    <w:p w14:paraId="23A1877A" w14:textId="77777777" w:rsidR="007157A6" w:rsidRPr="007157A6" w:rsidRDefault="007157A6" w:rsidP="007157A6">
      <w:pPr>
        <w:numPr>
          <w:ilvl w:val="2"/>
          <w:numId w:val="3"/>
        </w:numPr>
        <w:contextualSpacing/>
        <w:rPr>
          <w:lang w:val="en-GB"/>
        </w:rPr>
      </w:pPr>
      <w:r w:rsidRPr="007157A6">
        <w:rPr>
          <w:lang w:val="en-GB"/>
        </w:rPr>
        <w:t>Potential negative effects on climate change</w:t>
      </w:r>
    </w:p>
    <w:p w14:paraId="06D728BE" w14:textId="77777777" w:rsidR="007157A6" w:rsidRPr="007157A6" w:rsidRDefault="007157A6" w:rsidP="007157A6">
      <w:pPr>
        <w:numPr>
          <w:ilvl w:val="2"/>
          <w:numId w:val="3"/>
        </w:numPr>
        <w:contextualSpacing/>
        <w:rPr>
          <w:lang w:val="en-GB"/>
        </w:rPr>
      </w:pPr>
      <w:r w:rsidRPr="007157A6">
        <w:rPr>
          <w:lang w:val="en-GB"/>
        </w:rPr>
        <w:t>Potential negative effects on biodiversity</w:t>
      </w:r>
    </w:p>
    <w:p w14:paraId="0742B733" w14:textId="77777777" w:rsidR="007157A6" w:rsidRPr="007157A6" w:rsidRDefault="007157A6" w:rsidP="007157A6">
      <w:pPr>
        <w:numPr>
          <w:ilvl w:val="2"/>
          <w:numId w:val="3"/>
        </w:numPr>
        <w:contextualSpacing/>
        <w:rPr>
          <w:lang w:val="en-GB"/>
        </w:rPr>
      </w:pPr>
      <w:r w:rsidRPr="007157A6">
        <w:rPr>
          <w:lang w:val="en-GB"/>
        </w:rPr>
        <w:t>Potential negative effects on water, soil and air</w:t>
      </w:r>
    </w:p>
    <w:p w14:paraId="257ADF85" w14:textId="77777777" w:rsidR="007157A6" w:rsidRPr="007157A6" w:rsidRDefault="007157A6" w:rsidP="007157A6">
      <w:pPr>
        <w:numPr>
          <w:ilvl w:val="2"/>
          <w:numId w:val="3"/>
        </w:numPr>
        <w:contextualSpacing/>
        <w:rPr>
          <w:lang w:val="en-GB"/>
        </w:rPr>
      </w:pPr>
      <w:r w:rsidRPr="007157A6">
        <w:rPr>
          <w:lang w:val="en-GB"/>
        </w:rPr>
        <w:t>Potential negative effects on states’ tax basis</w:t>
      </w:r>
    </w:p>
    <w:p w14:paraId="75DDA96F" w14:textId="77777777" w:rsidR="007157A6" w:rsidRPr="007157A6" w:rsidRDefault="007157A6" w:rsidP="007157A6">
      <w:pPr>
        <w:numPr>
          <w:ilvl w:val="2"/>
          <w:numId w:val="3"/>
        </w:numPr>
        <w:contextualSpacing/>
        <w:rPr>
          <w:lang w:val="en-GB"/>
        </w:rPr>
      </w:pPr>
      <w:r w:rsidRPr="007157A6">
        <w:rPr>
          <w:lang w:val="en-GB"/>
        </w:rPr>
        <w:t>Potential negative effects on compliance with UN Guidelines on the Economy and Human Rights</w:t>
      </w:r>
    </w:p>
    <w:p w14:paraId="53BA0966" w14:textId="77777777" w:rsidR="007157A6" w:rsidRPr="007157A6" w:rsidRDefault="007157A6" w:rsidP="007157A6">
      <w:pPr>
        <w:numPr>
          <w:ilvl w:val="2"/>
          <w:numId w:val="3"/>
        </w:numPr>
        <w:contextualSpacing/>
        <w:rPr>
          <w:lang w:val="en-GB"/>
        </w:rPr>
      </w:pPr>
      <w:r w:rsidRPr="007157A6">
        <w:rPr>
          <w:lang w:val="en-GB"/>
        </w:rPr>
        <w:t>Potential negative effects on pricing in commodities markets</w:t>
      </w:r>
    </w:p>
    <w:p w14:paraId="2307747C" w14:textId="77777777" w:rsidR="007157A6" w:rsidRPr="007157A6" w:rsidRDefault="007157A6" w:rsidP="007157A6">
      <w:pPr>
        <w:numPr>
          <w:ilvl w:val="2"/>
          <w:numId w:val="3"/>
        </w:numPr>
        <w:contextualSpacing/>
        <w:rPr>
          <w:lang w:val="en-GB"/>
        </w:rPr>
      </w:pPr>
      <w:r w:rsidRPr="007157A6">
        <w:rPr>
          <w:lang w:val="en-GB"/>
        </w:rPr>
        <w:t>All of the above</w:t>
      </w:r>
    </w:p>
    <w:p w14:paraId="700C7822" w14:textId="77777777" w:rsidR="007157A6" w:rsidRPr="007157A6" w:rsidRDefault="007157A6" w:rsidP="007157A6">
      <w:pPr>
        <w:numPr>
          <w:ilvl w:val="2"/>
          <w:numId w:val="3"/>
        </w:numPr>
        <w:contextualSpacing/>
        <w:rPr>
          <w:lang w:val="en-GB"/>
        </w:rPr>
      </w:pPr>
      <w:r w:rsidRPr="007157A6">
        <w:rPr>
          <w:lang w:val="en-GB"/>
        </w:rPr>
        <w:t>None of the above</w:t>
      </w:r>
    </w:p>
    <w:p w14:paraId="2969AE4F" w14:textId="77777777" w:rsidR="007157A6" w:rsidRPr="007157A6" w:rsidRDefault="007157A6" w:rsidP="007157A6">
      <w:pPr>
        <w:ind w:left="360"/>
        <w:contextualSpacing/>
        <w:rPr>
          <w:lang w:val="en-GB"/>
        </w:rPr>
      </w:pPr>
    </w:p>
    <w:p w14:paraId="5650CD36" w14:textId="77777777" w:rsidR="007157A6" w:rsidRPr="007157A6" w:rsidRDefault="007157A6" w:rsidP="007157A6">
      <w:pPr>
        <w:numPr>
          <w:ilvl w:val="0"/>
          <w:numId w:val="3"/>
        </w:numPr>
        <w:contextualSpacing/>
        <w:rPr>
          <w:lang w:val="en-GB"/>
        </w:rPr>
      </w:pPr>
      <w:r w:rsidRPr="007157A6">
        <w:rPr>
          <w:lang w:val="en-GB"/>
        </w:rPr>
        <w:t xml:space="preserve">Should there be a public </w:t>
      </w:r>
      <w:r w:rsidR="00C850ED" w:rsidRPr="007157A6">
        <w:rPr>
          <w:lang w:val="en-GB"/>
        </w:rPr>
        <w:t>initiative</w:t>
      </w:r>
      <w:r w:rsidRPr="007157A6">
        <w:rPr>
          <w:lang w:val="en-GB"/>
        </w:rPr>
        <w:t xml:space="preserve"> to establishing a raw </w:t>
      </w:r>
      <w:r w:rsidR="00396D4C" w:rsidRPr="007157A6">
        <w:rPr>
          <w:lang w:val="en-GB"/>
        </w:rPr>
        <w:t>database</w:t>
      </w:r>
      <w:r w:rsidRPr="007157A6">
        <w:rPr>
          <w:lang w:val="en-GB"/>
        </w:rPr>
        <w:t xml:space="preserve"> for sustainability data if a market solution is not established independently due to a lack of incentives?</w:t>
      </w:r>
    </w:p>
    <w:p w14:paraId="74DD7984" w14:textId="77777777" w:rsidR="007157A6" w:rsidRPr="007157A6" w:rsidRDefault="007157A6" w:rsidP="007157A6">
      <w:pPr>
        <w:numPr>
          <w:ilvl w:val="1"/>
          <w:numId w:val="3"/>
        </w:numPr>
        <w:contextualSpacing/>
        <w:rPr>
          <w:lang w:val="en-GB"/>
        </w:rPr>
      </w:pPr>
      <w:r w:rsidRPr="007157A6">
        <w:rPr>
          <w:lang w:val="en-GB"/>
        </w:rPr>
        <w:t>Yes / No</w:t>
      </w:r>
      <w:r w:rsidRPr="007157A6">
        <w:rPr>
          <w:lang w:val="en-GB"/>
        </w:rPr>
        <w:br w:type="page"/>
      </w:r>
    </w:p>
    <w:p w14:paraId="6F8BA22E" w14:textId="77777777" w:rsidR="007157A6" w:rsidRPr="007157A6" w:rsidRDefault="007157A6" w:rsidP="00C850ED">
      <w:pPr>
        <w:pBdr>
          <w:bottom w:val="single" w:sz="4" w:space="1" w:color="auto"/>
        </w:pBdr>
        <w:rPr>
          <w:b/>
          <w:sz w:val="28"/>
          <w:lang w:val="en-GB"/>
        </w:rPr>
      </w:pPr>
      <w:r w:rsidRPr="007157A6">
        <w:rPr>
          <w:b/>
          <w:sz w:val="28"/>
          <w:lang w:val="en-GB"/>
        </w:rPr>
        <w:lastRenderedPageBreak/>
        <w:t>S</w:t>
      </w:r>
      <w:r w:rsidR="00C850ED">
        <w:rPr>
          <w:b/>
          <w:sz w:val="28"/>
          <w:lang w:val="en-GB"/>
        </w:rPr>
        <w:t>ustainability Risk in Risk Management</w:t>
      </w:r>
    </w:p>
    <w:p w14:paraId="5AD9A7D6"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49F3FB07" w14:textId="77777777" w:rsidTr="00C850ED">
        <w:tc>
          <w:tcPr>
            <w:tcW w:w="8642" w:type="dxa"/>
            <w:shd w:val="clear" w:color="auto" w:fill="D9D9D9" w:themeFill="background1" w:themeFillShade="D9"/>
          </w:tcPr>
          <w:p w14:paraId="6B089096"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429FAE26"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02E8B1C3"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33F84408"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5656B79B"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57CE97D7"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2BA3E77A" w14:textId="77777777" w:rsidR="007157A6" w:rsidRPr="007157A6" w:rsidRDefault="007157A6" w:rsidP="007157A6">
            <w:pPr>
              <w:rPr>
                <w:b/>
                <w:lang w:val="en-GB"/>
              </w:rPr>
            </w:pPr>
            <w:r w:rsidRPr="007157A6">
              <w:rPr>
                <w:b/>
                <w:lang w:val="en-GB"/>
              </w:rPr>
              <w:t>1</w:t>
            </w:r>
          </w:p>
        </w:tc>
      </w:tr>
      <w:tr w:rsidR="007157A6" w:rsidRPr="007157A6" w14:paraId="47E2CA86" w14:textId="77777777" w:rsidTr="00C850ED">
        <w:tc>
          <w:tcPr>
            <w:tcW w:w="8642" w:type="dxa"/>
            <w:vMerge w:val="restart"/>
          </w:tcPr>
          <w:p w14:paraId="2FF20EDD" w14:textId="77777777" w:rsidR="007157A6" w:rsidRPr="007157A6" w:rsidRDefault="007157A6" w:rsidP="007157A6">
            <w:pPr>
              <w:rPr>
                <w:lang w:val="en-GB"/>
              </w:rPr>
            </w:pPr>
            <w:r w:rsidRPr="007157A6">
              <w:rPr>
                <w:lang w:val="en-GB"/>
              </w:rPr>
              <w:t>Provide certainty for investments through a reliable and effective CO2 price as well as through sector-specific policies for implementing non-disruptive roadmaps and objectives.</w:t>
            </w:r>
          </w:p>
        </w:tc>
        <w:tc>
          <w:tcPr>
            <w:tcW w:w="3544" w:type="dxa"/>
          </w:tcPr>
          <w:p w14:paraId="74310D86" w14:textId="77777777" w:rsidR="007157A6" w:rsidRPr="007157A6" w:rsidRDefault="007157A6" w:rsidP="007157A6">
            <w:pPr>
              <w:rPr>
                <w:lang w:val="en-GB"/>
              </w:rPr>
            </w:pPr>
            <w:r w:rsidRPr="007157A6">
              <w:rPr>
                <w:lang w:val="en-GB"/>
              </w:rPr>
              <w:t>Will foster Sustainable Finance in Germany</w:t>
            </w:r>
          </w:p>
        </w:tc>
        <w:tc>
          <w:tcPr>
            <w:tcW w:w="418" w:type="dxa"/>
          </w:tcPr>
          <w:p w14:paraId="18E0B456" w14:textId="77777777" w:rsidR="007157A6" w:rsidRPr="007157A6" w:rsidRDefault="007157A6" w:rsidP="007157A6">
            <w:pPr>
              <w:rPr>
                <w:lang w:val="en-GB"/>
              </w:rPr>
            </w:pPr>
          </w:p>
        </w:tc>
        <w:tc>
          <w:tcPr>
            <w:tcW w:w="418" w:type="dxa"/>
          </w:tcPr>
          <w:p w14:paraId="7F72F505" w14:textId="77777777" w:rsidR="007157A6" w:rsidRPr="007157A6" w:rsidRDefault="007157A6" w:rsidP="007157A6">
            <w:pPr>
              <w:rPr>
                <w:lang w:val="en-GB"/>
              </w:rPr>
            </w:pPr>
          </w:p>
        </w:tc>
        <w:tc>
          <w:tcPr>
            <w:tcW w:w="418" w:type="dxa"/>
          </w:tcPr>
          <w:p w14:paraId="782EC057" w14:textId="77777777" w:rsidR="007157A6" w:rsidRPr="007157A6" w:rsidRDefault="007157A6" w:rsidP="007157A6">
            <w:pPr>
              <w:rPr>
                <w:lang w:val="en-GB"/>
              </w:rPr>
            </w:pPr>
          </w:p>
        </w:tc>
        <w:tc>
          <w:tcPr>
            <w:tcW w:w="418" w:type="dxa"/>
          </w:tcPr>
          <w:p w14:paraId="3495CFCE" w14:textId="77777777" w:rsidR="007157A6" w:rsidRPr="007157A6" w:rsidRDefault="007157A6" w:rsidP="007157A6">
            <w:pPr>
              <w:rPr>
                <w:lang w:val="en-GB"/>
              </w:rPr>
            </w:pPr>
          </w:p>
        </w:tc>
        <w:tc>
          <w:tcPr>
            <w:tcW w:w="419" w:type="dxa"/>
          </w:tcPr>
          <w:p w14:paraId="7251D199" w14:textId="77777777" w:rsidR="007157A6" w:rsidRPr="007157A6" w:rsidRDefault="007157A6" w:rsidP="007157A6">
            <w:pPr>
              <w:rPr>
                <w:lang w:val="en-GB"/>
              </w:rPr>
            </w:pPr>
          </w:p>
        </w:tc>
      </w:tr>
      <w:tr w:rsidR="007157A6" w:rsidRPr="007157A6" w14:paraId="69353BCA" w14:textId="77777777" w:rsidTr="00C850ED">
        <w:tc>
          <w:tcPr>
            <w:tcW w:w="8642" w:type="dxa"/>
            <w:vMerge/>
          </w:tcPr>
          <w:p w14:paraId="62805EE7" w14:textId="77777777" w:rsidR="007157A6" w:rsidRPr="007157A6" w:rsidRDefault="007157A6" w:rsidP="007157A6">
            <w:pPr>
              <w:rPr>
                <w:lang w:val="en-GB"/>
              </w:rPr>
            </w:pPr>
          </w:p>
        </w:tc>
        <w:tc>
          <w:tcPr>
            <w:tcW w:w="3544" w:type="dxa"/>
          </w:tcPr>
          <w:p w14:paraId="71C5B728" w14:textId="77777777" w:rsidR="007157A6" w:rsidRPr="007157A6" w:rsidRDefault="007157A6" w:rsidP="007157A6">
            <w:pPr>
              <w:rPr>
                <w:lang w:val="en-GB"/>
              </w:rPr>
            </w:pPr>
            <w:r w:rsidRPr="007157A6">
              <w:rPr>
                <w:lang w:val="en-GB"/>
              </w:rPr>
              <w:t>Level of ambition</w:t>
            </w:r>
          </w:p>
        </w:tc>
        <w:tc>
          <w:tcPr>
            <w:tcW w:w="418" w:type="dxa"/>
          </w:tcPr>
          <w:p w14:paraId="4910614F" w14:textId="77777777" w:rsidR="007157A6" w:rsidRPr="007157A6" w:rsidRDefault="007157A6" w:rsidP="007157A6">
            <w:pPr>
              <w:rPr>
                <w:lang w:val="en-GB"/>
              </w:rPr>
            </w:pPr>
          </w:p>
        </w:tc>
        <w:tc>
          <w:tcPr>
            <w:tcW w:w="418" w:type="dxa"/>
          </w:tcPr>
          <w:p w14:paraId="1471DD35" w14:textId="77777777" w:rsidR="007157A6" w:rsidRPr="007157A6" w:rsidRDefault="007157A6" w:rsidP="007157A6">
            <w:pPr>
              <w:rPr>
                <w:lang w:val="en-GB"/>
              </w:rPr>
            </w:pPr>
          </w:p>
        </w:tc>
        <w:tc>
          <w:tcPr>
            <w:tcW w:w="418" w:type="dxa"/>
          </w:tcPr>
          <w:p w14:paraId="6F3FF4FF" w14:textId="77777777" w:rsidR="007157A6" w:rsidRPr="007157A6" w:rsidRDefault="007157A6" w:rsidP="007157A6">
            <w:pPr>
              <w:rPr>
                <w:lang w:val="en-GB"/>
              </w:rPr>
            </w:pPr>
          </w:p>
        </w:tc>
        <w:tc>
          <w:tcPr>
            <w:tcW w:w="418" w:type="dxa"/>
          </w:tcPr>
          <w:p w14:paraId="03A6C411" w14:textId="77777777" w:rsidR="007157A6" w:rsidRPr="007157A6" w:rsidRDefault="007157A6" w:rsidP="007157A6">
            <w:pPr>
              <w:rPr>
                <w:lang w:val="en-GB"/>
              </w:rPr>
            </w:pPr>
          </w:p>
        </w:tc>
        <w:tc>
          <w:tcPr>
            <w:tcW w:w="419" w:type="dxa"/>
          </w:tcPr>
          <w:p w14:paraId="2FBC632B" w14:textId="77777777" w:rsidR="007157A6" w:rsidRPr="007157A6" w:rsidRDefault="007157A6" w:rsidP="007157A6">
            <w:pPr>
              <w:rPr>
                <w:lang w:val="en-GB"/>
              </w:rPr>
            </w:pPr>
          </w:p>
        </w:tc>
      </w:tr>
      <w:tr w:rsidR="007157A6" w:rsidRPr="007157A6" w14:paraId="75573CB3" w14:textId="77777777" w:rsidTr="00C850ED">
        <w:tc>
          <w:tcPr>
            <w:tcW w:w="8642" w:type="dxa"/>
            <w:vMerge/>
          </w:tcPr>
          <w:p w14:paraId="3A43A60D" w14:textId="77777777" w:rsidR="007157A6" w:rsidRPr="007157A6" w:rsidRDefault="007157A6" w:rsidP="007157A6">
            <w:pPr>
              <w:rPr>
                <w:lang w:val="en-GB"/>
              </w:rPr>
            </w:pPr>
          </w:p>
        </w:tc>
        <w:tc>
          <w:tcPr>
            <w:tcW w:w="3544" w:type="dxa"/>
          </w:tcPr>
          <w:p w14:paraId="50460941" w14:textId="77777777" w:rsidR="007157A6" w:rsidRPr="007157A6" w:rsidRDefault="007157A6" w:rsidP="007157A6">
            <w:pPr>
              <w:rPr>
                <w:lang w:val="en-GB"/>
              </w:rPr>
            </w:pPr>
            <w:r w:rsidRPr="007157A6">
              <w:rPr>
                <w:lang w:val="en-GB"/>
              </w:rPr>
              <w:t>Practicability</w:t>
            </w:r>
          </w:p>
        </w:tc>
        <w:tc>
          <w:tcPr>
            <w:tcW w:w="418" w:type="dxa"/>
          </w:tcPr>
          <w:p w14:paraId="29DDD5DC" w14:textId="77777777" w:rsidR="007157A6" w:rsidRPr="007157A6" w:rsidRDefault="007157A6" w:rsidP="007157A6">
            <w:pPr>
              <w:rPr>
                <w:lang w:val="en-GB"/>
              </w:rPr>
            </w:pPr>
          </w:p>
        </w:tc>
        <w:tc>
          <w:tcPr>
            <w:tcW w:w="418" w:type="dxa"/>
          </w:tcPr>
          <w:p w14:paraId="3E622B32" w14:textId="77777777" w:rsidR="007157A6" w:rsidRPr="007157A6" w:rsidRDefault="007157A6" w:rsidP="007157A6">
            <w:pPr>
              <w:rPr>
                <w:lang w:val="en-GB"/>
              </w:rPr>
            </w:pPr>
          </w:p>
        </w:tc>
        <w:tc>
          <w:tcPr>
            <w:tcW w:w="418" w:type="dxa"/>
          </w:tcPr>
          <w:p w14:paraId="571FE193" w14:textId="77777777" w:rsidR="007157A6" w:rsidRPr="007157A6" w:rsidRDefault="007157A6" w:rsidP="007157A6">
            <w:pPr>
              <w:rPr>
                <w:lang w:val="en-GB"/>
              </w:rPr>
            </w:pPr>
          </w:p>
        </w:tc>
        <w:tc>
          <w:tcPr>
            <w:tcW w:w="418" w:type="dxa"/>
          </w:tcPr>
          <w:p w14:paraId="7D1D9805" w14:textId="77777777" w:rsidR="007157A6" w:rsidRPr="007157A6" w:rsidRDefault="007157A6" w:rsidP="007157A6">
            <w:pPr>
              <w:rPr>
                <w:lang w:val="en-GB"/>
              </w:rPr>
            </w:pPr>
          </w:p>
        </w:tc>
        <w:tc>
          <w:tcPr>
            <w:tcW w:w="419" w:type="dxa"/>
          </w:tcPr>
          <w:p w14:paraId="735DECED" w14:textId="77777777" w:rsidR="007157A6" w:rsidRPr="007157A6" w:rsidRDefault="007157A6" w:rsidP="007157A6">
            <w:pPr>
              <w:rPr>
                <w:lang w:val="en-GB"/>
              </w:rPr>
            </w:pPr>
          </w:p>
        </w:tc>
      </w:tr>
      <w:tr w:rsidR="007157A6" w:rsidRPr="007157A6" w14:paraId="3AA983A2" w14:textId="77777777" w:rsidTr="00C850ED">
        <w:tc>
          <w:tcPr>
            <w:tcW w:w="8642" w:type="dxa"/>
            <w:vMerge/>
          </w:tcPr>
          <w:p w14:paraId="2EC0A1EE" w14:textId="77777777" w:rsidR="007157A6" w:rsidRPr="007157A6" w:rsidRDefault="007157A6" w:rsidP="007157A6">
            <w:pPr>
              <w:rPr>
                <w:lang w:val="en-GB"/>
              </w:rPr>
            </w:pPr>
          </w:p>
        </w:tc>
        <w:tc>
          <w:tcPr>
            <w:tcW w:w="3544" w:type="dxa"/>
          </w:tcPr>
          <w:p w14:paraId="2F10E787"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368EE522" w14:textId="77777777" w:rsidR="007157A6" w:rsidRPr="007157A6" w:rsidRDefault="007157A6" w:rsidP="007157A6">
            <w:pPr>
              <w:rPr>
                <w:lang w:val="en-GB"/>
              </w:rPr>
            </w:pPr>
          </w:p>
        </w:tc>
        <w:tc>
          <w:tcPr>
            <w:tcW w:w="418" w:type="dxa"/>
          </w:tcPr>
          <w:p w14:paraId="22F920F2" w14:textId="77777777" w:rsidR="007157A6" w:rsidRPr="007157A6" w:rsidRDefault="007157A6" w:rsidP="007157A6">
            <w:pPr>
              <w:rPr>
                <w:lang w:val="en-GB"/>
              </w:rPr>
            </w:pPr>
          </w:p>
        </w:tc>
        <w:tc>
          <w:tcPr>
            <w:tcW w:w="418" w:type="dxa"/>
          </w:tcPr>
          <w:p w14:paraId="4A71A45A" w14:textId="77777777" w:rsidR="007157A6" w:rsidRPr="007157A6" w:rsidRDefault="007157A6" w:rsidP="007157A6">
            <w:pPr>
              <w:rPr>
                <w:lang w:val="en-GB"/>
              </w:rPr>
            </w:pPr>
          </w:p>
        </w:tc>
        <w:tc>
          <w:tcPr>
            <w:tcW w:w="418" w:type="dxa"/>
          </w:tcPr>
          <w:p w14:paraId="04BAF2A1" w14:textId="77777777" w:rsidR="007157A6" w:rsidRPr="007157A6" w:rsidRDefault="007157A6" w:rsidP="007157A6">
            <w:pPr>
              <w:rPr>
                <w:lang w:val="en-GB"/>
              </w:rPr>
            </w:pPr>
          </w:p>
        </w:tc>
        <w:tc>
          <w:tcPr>
            <w:tcW w:w="419" w:type="dxa"/>
          </w:tcPr>
          <w:p w14:paraId="12FACD7A" w14:textId="77777777" w:rsidR="007157A6" w:rsidRPr="007157A6" w:rsidRDefault="007157A6" w:rsidP="007157A6">
            <w:pPr>
              <w:rPr>
                <w:lang w:val="en-GB"/>
              </w:rPr>
            </w:pPr>
          </w:p>
        </w:tc>
      </w:tr>
      <w:tr w:rsidR="007157A6" w:rsidRPr="007157A6" w14:paraId="5DBD9736" w14:textId="77777777" w:rsidTr="00C850ED">
        <w:tc>
          <w:tcPr>
            <w:tcW w:w="8642" w:type="dxa"/>
            <w:shd w:val="clear" w:color="auto" w:fill="D9D9D9" w:themeFill="background1" w:themeFillShade="D9"/>
          </w:tcPr>
          <w:p w14:paraId="142BAE2D"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6AC5C365"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3FE5EBBC"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72915074"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4BC86515"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1DAA2AE"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B9FD510" w14:textId="77777777" w:rsidR="007157A6" w:rsidRPr="007157A6" w:rsidRDefault="007157A6" w:rsidP="007157A6">
            <w:pPr>
              <w:rPr>
                <w:lang w:val="en-GB"/>
              </w:rPr>
            </w:pPr>
            <w:r w:rsidRPr="007157A6">
              <w:rPr>
                <w:b/>
                <w:lang w:val="en-GB"/>
              </w:rPr>
              <w:t>1</w:t>
            </w:r>
          </w:p>
        </w:tc>
      </w:tr>
      <w:tr w:rsidR="007157A6" w:rsidRPr="007157A6" w14:paraId="7A7BEB20" w14:textId="77777777" w:rsidTr="00C850ED">
        <w:trPr>
          <w:trHeight w:val="664"/>
        </w:trPr>
        <w:tc>
          <w:tcPr>
            <w:tcW w:w="8642" w:type="dxa"/>
            <w:vMerge w:val="restart"/>
          </w:tcPr>
          <w:p w14:paraId="4D5EC8A2" w14:textId="77777777" w:rsidR="007157A6" w:rsidRPr="007157A6" w:rsidRDefault="007157A6" w:rsidP="00C850ED">
            <w:pPr>
              <w:rPr>
                <w:lang w:val="en-GB"/>
              </w:rPr>
            </w:pPr>
            <w:r w:rsidRPr="007157A6">
              <w:rPr>
                <w:lang w:val="en-GB"/>
              </w:rPr>
              <w:t>Unless already covered by EU requirements, incrementally introduce the systematic consideration of material – and forward looking (&gt; 5 years) – sustainability parameters in risk management and strategy development processes at all institutional investors and credit institutions (including the public sector). The ongoing development and use of science-based and forward-looking scenario analyses/stress tests is essential in this context. In this connection, the ramifications of any support, indifference or obstruction of the necessary transformation process by political, economic and social players shall be explicitly described along the required 1.5°/&lt; 2° changes described by climate scientists.</w:t>
            </w:r>
          </w:p>
        </w:tc>
        <w:tc>
          <w:tcPr>
            <w:tcW w:w="3544" w:type="dxa"/>
          </w:tcPr>
          <w:p w14:paraId="4843DCC5" w14:textId="77777777" w:rsidR="007157A6" w:rsidRPr="007157A6" w:rsidRDefault="007157A6" w:rsidP="007157A6">
            <w:pPr>
              <w:rPr>
                <w:lang w:val="en-GB"/>
              </w:rPr>
            </w:pPr>
            <w:r w:rsidRPr="007157A6">
              <w:rPr>
                <w:lang w:val="en-GB"/>
              </w:rPr>
              <w:t>Will foster Sustainable Finance in Germany</w:t>
            </w:r>
          </w:p>
        </w:tc>
        <w:tc>
          <w:tcPr>
            <w:tcW w:w="418" w:type="dxa"/>
          </w:tcPr>
          <w:p w14:paraId="6E795D50" w14:textId="77777777" w:rsidR="007157A6" w:rsidRPr="007157A6" w:rsidRDefault="007157A6" w:rsidP="007157A6">
            <w:pPr>
              <w:rPr>
                <w:lang w:val="en-GB"/>
              </w:rPr>
            </w:pPr>
          </w:p>
        </w:tc>
        <w:tc>
          <w:tcPr>
            <w:tcW w:w="418" w:type="dxa"/>
          </w:tcPr>
          <w:p w14:paraId="40FDA78B" w14:textId="77777777" w:rsidR="007157A6" w:rsidRPr="007157A6" w:rsidRDefault="007157A6" w:rsidP="007157A6">
            <w:pPr>
              <w:rPr>
                <w:lang w:val="en-GB"/>
              </w:rPr>
            </w:pPr>
          </w:p>
        </w:tc>
        <w:tc>
          <w:tcPr>
            <w:tcW w:w="418" w:type="dxa"/>
          </w:tcPr>
          <w:p w14:paraId="5E116579" w14:textId="77777777" w:rsidR="007157A6" w:rsidRPr="007157A6" w:rsidRDefault="007157A6" w:rsidP="007157A6">
            <w:pPr>
              <w:rPr>
                <w:lang w:val="en-GB"/>
              </w:rPr>
            </w:pPr>
          </w:p>
        </w:tc>
        <w:tc>
          <w:tcPr>
            <w:tcW w:w="418" w:type="dxa"/>
          </w:tcPr>
          <w:p w14:paraId="5C6EB4F6" w14:textId="77777777" w:rsidR="007157A6" w:rsidRPr="007157A6" w:rsidRDefault="007157A6" w:rsidP="007157A6">
            <w:pPr>
              <w:rPr>
                <w:lang w:val="en-GB"/>
              </w:rPr>
            </w:pPr>
          </w:p>
        </w:tc>
        <w:tc>
          <w:tcPr>
            <w:tcW w:w="419" w:type="dxa"/>
          </w:tcPr>
          <w:p w14:paraId="1E2131B0" w14:textId="77777777" w:rsidR="007157A6" w:rsidRPr="007157A6" w:rsidRDefault="007157A6" w:rsidP="007157A6">
            <w:pPr>
              <w:rPr>
                <w:lang w:val="en-GB"/>
              </w:rPr>
            </w:pPr>
          </w:p>
        </w:tc>
      </w:tr>
      <w:tr w:rsidR="007157A6" w:rsidRPr="007157A6" w14:paraId="3585B73D" w14:textId="77777777" w:rsidTr="00C850ED">
        <w:trPr>
          <w:trHeight w:val="664"/>
        </w:trPr>
        <w:tc>
          <w:tcPr>
            <w:tcW w:w="8642" w:type="dxa"/>
            <w:vMerge/>
          </w:tcPr>
          <w:p w14:paraId="7EF821AF" w14:textId="77777777" w:rsidR="007157A6" w:rsidRPr="007157A6" w:rsidRDefault="007157A6" w:rsidP="007157A6">
            <w:pPr>
              <w:rPr>
                <w:lang w:val="en-GB"/>
              </w:rPr>
            </w:pPr>
          </w:p>
        </w:tc>
        <w:tc>
          <w:tcPr>
            <w:tcW w:w="3544" w:type="dxa"/>
          </w:tcPr>
          <w:p w14:paraId="1031288B" w14:textId="77777777" w:rsidR="007157A6" w:rsidRPr="007157A6" w:rsidRDefault="007157A6" w:rsidP="007157A6">
            <w:pPr>
              <w:rPr>
                <w:lang w:val="en-GB"/>
              </w:rPr>
            </w:pPr>
            <w:r w:rsidRPr="007157A6">
              <w:rPr>
                <w:lang w:val="en-GB"/>
              </w:rPr>
              <w:t>Level of ambition</w:t>
            </w:r>
          </w:p>
        </w:tc>
        <w:tc>
          <w:tcPr>
            <w:tcW w:w="418" w:type="dxa"/>
          </w:tcPr>
          <w:p w14:paraId="48ED1A9D" w14:textId="77777777" w:rsidR="007157A6" w:rsidRPr="007157A6" w:rsidRDefault="007157A6" w:rsidP="007157A6">
            <w:pPr>
              <w:rPr>
                <w:lang w:val="en-GB"/>
              </w:rPr>
            </w:pPr>
          </w:p>
        </w:tc>
        <w:tc>
          <w:tcPr>
            <w:tcW w:w="418" w:type="dxa"/>
          </w:tcPr>
          <w:p w14:paraId="4B22C2C4" w14:textId="77777777" w:rsidR="007157A6" w:rsidRPr="007157A6" w:rsidRDefault="007157A6" w:rsidP="007157A6">
            <w:pPr>
              <w:rPr>
                <w:lang w:val="en-GB"/>
              </w:rPr>
            </w:pPr>
          </w:p>
        </w:tc>
        <w:tc>
          <w:tcPr>
            <w:tcW w:w="418" w:type="dxa"/>
          </w:tcPr>
          <w:p w14:paraId="0F96A8DB" w14:textId="77777777" w:rsidR="007157A6" w:rsidRPr="007157A6" w:rsidRDefault="007157A6" w:rsidP="007157A6">
            <w:pPr>
              <w:rPr>
                <w:lang w:val="en-GB"/>
              </w:rPr>
            </w:pPr>
          </w:p>
        </w:tc>
        <w:tc>
          <w:tcPr>
            <w:tcW w:w="418" w:type="dxa"/>
          </w:tcPr>
          <w:p w14:paraId="21D89042" w14:textId="77777777" w:rsidR="007157A6" w:rsidRPr="007157A6" w:rsidRDefault="007157A6" w:rsidP="007157A6">
            <w:pPr>
              <w:rPr>
                <w:lang w:val="en-GB"/>
              </w:rPr>
            </w:pPr>
          </w:p>
        </w:tc>
        <w:tc>
          <w:tcPr>
            <w:tcW w:w="419" w:type="dxa"/>
          </w:tcPr>
          <w:p w14:paraId="0C22FE62" w14:textId="77777777" w:rsidR="007157A6" w:rsidRPr="007157A6" w:rsidRDefault="007157A6" w:rsidP="007157A6">
            <w:pPr>
              <w:rPr>
                <w:lang w:val="en-GB"/>
              </w:rPr>
            </w:pPr>
          </w:p>
        </w:tc>
      </w:tr>
      <w:tr w:rsidR="007157A6" w:rsidRPr="007157A6" w14:paraId="14ED792A" w14:textId="77777777" w:rsidTr="00C850ED">
        <w:trPr>
          <w:trHeight w:val="664"/>
        </w:trPr>
        <w:tc>
          <w:tcPr>
            <w:tcW w:w="8642" w:type="dxa"/>
            <w:vMerge/>
          </w:tcPr>
          <w:p w14:paraId="65D37D7E" w14:textId="77777777" w:rsidR="007157A6" w:rsidRPr="007157A6" w:rsidRDefault="007157A6" w:rsidP="007157A6">
            <w:pPr>
              <w:rPr>
                <w:lang w:val="en-GB"/>
              </w:rPr>
            </w:pPr>
          </w:p>
        </w:tc>
        <w:tc>
          <w:tcPr>
            <w:tcW w:w="3544" w:type="dxa"/>
          </w:tcPr>
          <w:p w14:paraId="7D823EE9" w14:textId="77777777" w:rsidR="007157A6" w:rsidRPr="007157A6" w:rsidRDefault="007157A6" w:rsidP="007157A6">
            <w:pPr>
              <w:rPr>
                <w:lang w:val="en-GB"/>
              </w:rPr>
            </w:pPr>
            <w:r w:rsidRPr="007157A6">
              <w:rPr>
                <w:lang w:val="en-GB"/>
              </w:rPr>
              <w:t>Practicability</w:t>
            </w:r>
          </w:p>
        </w:tc>
        <w:tc>
          <w:tcPr>
            <w:tcW w:w="418" w:type="dxa"/>
          </w:tcPr>
          <w:p w14:paraId="08B45F51" w14:textId="77777777" w:rsidR="007157A6" w:rsidRPr="007157A6" w:rsidRDefault="007157A6" w:rsidP="007157A6">
            <w:pPr>
              <w:rPr>
                <w:lang w:val="en-GB"/>
              </w:rPr>
            </w:pPr>
          </w:p>
        </w:tc>
        <w:tc>
          <w:tcPr>
            <w:tcW w:w="418" w:type="dxa"/>
          </w:tcPr>
          <w:p w14:paraId="0AB964D8" w14:textId="77777777" w:rsidR="007157A6" w:rsidRPr="007157A6" w:rsidRDefault="007157A6" w:rsidP="007157A6">
            <w:pPr>
              <w:rPr>
                <w:lang w:val="en-GB"/>
              </w:rPr>
            </w:pPr>
          </w:p>
        </w:tc>
        <w:tc>
          <w:tcPr>
            <w:tcW w:w="418" w:type="dxa"/>
          </w:tcPr>
          <w:p w14:paraId="055E71B6" w14:textId="77777777" w:rsidR="007157A6" w:rsidRPr="007157A6" w:rsidRDefault="007157A6" w:rsidP="007157A6">
            <w:pPr>
              <w:rPr>
                <w:lang w:val="en-GB"/>
              </w:rPr>
            </w:pPr>
          </w:p>
        </w:tc>
        <w:tc>
          <w:tcPr>
            <w:tcW w:w="418" w:type="dxa"/>
          </w:tcPr>
          <w:p w14:paraId="133D1249" w14:textId="77777777" w:rsidR="007157A6" w:rsidRPr="007157A6" w:rsidRDefault="007157A6" w:rsidP="007157A6">
            <w:pPr>
              <w:rPr>
                <w:lang w:val="en-GB"/>
              </w:rPr>
            </w:pPr>
          </w:p>
        </w:tc>
        <w:tc>
          <w:tcPr>
            <w:tcW w:w="419" w:type="dxa"/>
          </w:tcPr>
          <w:p w14:paraId="28F332B8" w14:textId="77777777" w:rsidR="007157A6" w:rsidRPr="007157A6" w:rsidRDefault="007157A6" w:rsidP="007157A6">
            <w:pPr>
              <w:rPr>
                <w:lang w:val="en-GB"/>
              </w:rPr>
            </w:pPr>
          </w:p>
        </w:tc>
      </w:tr>
      <w:tr w:rsidR="007157A6" w:rsidRPr="007157A6" w14:paraId="6BDDC70B" w14:textId="77777777" w:rsidTr="00C850ED">
        <w:trPr>
          <w:trHeight w:val="664"/>
        </w:trPr>
        <w:tc>
          <w:tcPr>
            <w:tcW w:w="8642" w:type="dxa"/>
            <w:vMerge/>
          </w:tcPr>
          <w:p w14:paraId="754DFC33" w14:textId="77777777" w:rsidR="007157A6" w:rsidRPr="007157A6" w:rsidRDefault="007157A6" w:rsidP="007157A6">
            <w:pPr>
              <w:rPr>
                <w:lang w:val="en-GB"/>
              </w:rPr>
            </w:pPr>
          </w:p>
        </w:tc>
        <w:tc>
          <w:tcPr>
            <w:tcW w:w="3544" w:type="dxa"/>
          </w:tcPr>
          <w:p w14:paraId="4BD1165B"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F537534" w14:textId="77777777" w:rsidR="007157A6" w:rsidRPr="007157A6" w:rsidRDefault="007157A6" w:rsidP="007157A6">
            <w:pPr>
              <w:rPr>
                <w:lang w:val="en-GB"/>
              </w:rPr>
            </w:pPr>
          </w:p>
        </w:tc>
        <w:tc>
          <w:tcPr>
            <w:tcW w:w="418" w:type="dxa"/>
          </w:tcPr>
          <w:p w14:paraId="2FC4250E" w14:textId="77777777" w:rsidR="007157A6" w:rsidRPr="007157A6" w:rsidRDefault="007157A6" w:rsidP="007157A6">
            <w:pPr>
              <w:rPr>
                <w:lang w:val="en-GB"/>
              </w:rPr>
            </w:pPr>
          </w:p>
        </w:tc>
        <w:tc>
          <w:tcPr>
            <w:tcW w:w="418" w:type="dxa"/>
          </w:tcPr>
          <w:p w14:paraId="12CE69C6" w14:textId="77777777" w:rsidR="007157A6" w:rsidRPr="007157A6" w:rsidRDefault="007157A6" w:rsidP="007157A6">
            <w:pPr>
              <w:rPr>
                <w:lang w:val="en-GB"/>
              </w:rPr>
            </w:pPr>
          </w:p>
        </w:tc>
        <w:tc>
          <w:tcPr>
            <w:tcW w:w="418" w:type="dxa"/>
          </w:tcPr>
          <w:p w14:paraId="13BC82AF" w14:textId="77777777" w:rsidR="007157A6" w:rsidRPr="007157A6" w:rsidRDefault="007157A6" w:rsidP="007157A6">
            <w:pPr>
              <w:rPr>
                <w:lang w:val="en-GB"/>
              </w:rPr>
            </w:pPr>
          </w:p>
        </w:tc>
        <w:tc>
          <w:tcPr>
            <w:tcW w:w="419" w:type="dxa"/>
          </w:tcPr>
          <w:p w14:paraId="41EE3E6E" w14:textId="77777777" w:rsidR="007157A6" w:rsidRPr="007157A6" w:rsidRDefault="007157A6" w:rsidP="007157A6">
            <w:pPr>
              <w:rPr>
                <w:lang w:val="en-GB"/>
              </w:rPr>
            </w:pPr>
          </w:p>
        </w:tc>
      </w:tr>
      <w:tr w:rsidR="007157A6" w:rsidRPr="007157A6" w14:paraId="552862B5" w14:textId="77777777" w:rsidTr="00C850ED">
        <w:tc>
          <w:tcPr>
            <w:tcW w:w="8642" w:type="dxa"/>
            <w:shd w:val="clear" w:color="auto" w:fill="D9D9D9" w:themeFill="background1" w:themeFillShade="D9"/>
          </w:tcPr>
          <w:p w14:paraId="3629DCF8"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F0EE630"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9A1C64E"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E419CBD"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4626E8FC"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5DC4DBB8"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642E0951" w14:textId="77777777" w:rsidR="007157A6" w:rsidRPr="007157A6" w:rsidRDefault="007157A6" w:rsidP="007157A6">
            <w:pPr>
              <w:rPr>
                <w:lang w:val="en-GB"/>
              </w:rPr>
            </w:pPr>
            <w:r w:rsidRPr="007157A6">
              <w:rPr>
                <w:b/>
                <w:lang w:val="en-GB"/>
              </w:rPr>
              <w:t>1</w:t>
            </w:r>
          </w:p>
        </w:tc>
      </w:tr>
      <w:tr w:rsidR="007157A6" w:rsidRPr="007157A6" w14:paraId="6F0A7FB9" w14:textId="77777777" w:rsidTr="00C850ED">
        <w:trPr>
          <w:trHeight w:val="999"/>
        </w:trPr>
        <w:tc>
          <w:tcPr>
            <w:tcW w:w="8642" w:type="dxa"/>
            <w:vMerge w:val="restart"/>
          </w:tcPr>
          <w:p w14:paraId="095FA461" w14:textId="77777777" w:rsidR="007157A6" w:rsidRPr="007157A6" w:rsidRDefault="007157A6" w:rsidP="007157A6">
            <w:pPr>
              <w:rPr>
                <w:lang w:val="en-GB"/>
              </w:rPr>
            </w:pPr>
            <w:r w:rsidRPr="007157A6">
              <w:rPr>
                <w:lang w:val="en-GB"/>
              </w:rPr>
              <w:t xml:space="preserve">Risks to companies may also arise indirectly through a given company’s effects on its environment and society at large, e.g. through retroactive reputation risks (double materiality). An analysis of the suppliers and supply chains (e.g. respecting liability risks) may be indicated in this connection. Companies are thus expected to provide double materiality reports, but they should have methodological leeway as to matters of implementation (determination, method of analysis). With a view to further developing the methods, an intensive dialogue between the real economy, the financial industry, supervisory authorities, </w:t>
            </w:r>
            <w:r w:rsidRPr="007157A6">
              <w:rPr>
                <w:lang w:val="en-GB"/>
              </w:rPr>
              <w:lastRenderedPageBreak/>
              <w:t>the legislature and experts should be fostered. Once a method gains traction, its effects should be reviewed, and any additional need for action should be based thereon. Internal risk management processes at institutional investors and credit institutions should be expanded as necessary in order to systematically account for financially relevant sustainability risks as well as include portfolio scenario analyses/stress tests.</w:t>
            </w:r>
          </w:p>
        </w:tc>
        <w:tc>
          <w:tcPr>
            <w:tcW w:w="3544" w:type="dxa"/>
          </w:tcPr>
          <w:p w14:paraId="3531E2EC"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55DB4EBA" w14:textId="77777777" w:rsidR="007157A6" w:rsidRPr="007157A6" w:rsidRDefault="007157A6" w:rsidP="007157A6">
            <w:pPr>
              <w:rPr>
                <w:lang w:val="en-GB"/>
              </w:rPr>
            </w:pPr>
          </w:p>
        </w:tc>
        <w:tc>
          <w:tcPr>
            <w:tcW w:w="418" w:type="dxa"/>
          </w:tcPr>
          <w:p w14:paraId="59680AFD" w14:textId="77777777" w:rsidR="007157A6" w:rsidRPr="007157A6" w:rsidRDefault="007157A6" w:rsidP="007157A6">
            <w:pPr>
              <w:rPr>
                <w:lang w:val="en-GB"/>
              </w:rPr>
            </w:pPr>
          </w:p>
        </w:tc>
        <w:tc>
          <w:tcPr>
            <w:tcW w:w="418" w:type="dxa"/>
          </w:tcPr>
          <w:p w14:paraId="077A6873" w14:textId="77777777" w:rsidR="007157A6" w:rsidRPr="007157A6" w:rsidRDefault="007157A6" w:rsidP="007157A6">
            <w:pPr>
              <w:rPr>
                <w:lang w:val="en-GB"/>
              </w:rPr>
            </w:pPr>
          </w:p>
        </w:tc>
        <w:tc>
          <w:tcPr>
            <w:tcW w:w="418" w:type="dxa"/>
          </w:tcPr>
          <w:p w14:paraId="7E05C3C3" w14:textId="77777777" w:rsidR="007157A6" w:rsidRPr="007157A6" w:rsidRDefault="007157A6" w:rsidP="007157A6">
            <w:pPr>
              <w:rPr>
                <w:lang w:val="en-GB"/>
              </w:rPr>
            </w:pPr>
          </w:p>
        </w:tc>
        <w:tc>
          <w:tcPr>
            <w:tcW w:w="419" w:type="dxa"/>
          </w:tcPr>
          <w:p w14:paraId="3E3414B0" w14:textId="77777777" w:rsidR="007157A6" w:rsidRPr="007157A6" w:rsidRDefault="007157A6" w:rsidP="007157A6">
            <w:pPr>
              <w:rPr>
                <w:lang w:val="en-GB"/>
              </w:rPr>
            </w:pPr>
          </w:p>
        </w:tc>
      </w:tr>
      <w:tr w:rsidR="007157A6" w:rsidRPr="007157A6" w14:paraId="1AF67569" w14:textId="77777777" w:rsidTr="00C850ED">
        <w:trPr>
          <w:trHeight w:val="1000"/>
        </w:trPr>
        <w:tc>
          <w:tcPr>
            <w:tcW w:w="8642" w:type="dxa"/>
            <w:vMerge/>
          </w:tcPr>
          <w:p w14:paraId="00D2C99B" w14:textId="77777777" w:rsidR="007157A6" w:rsidRPr="007157A6" w:rsidRDefault="007157A6" w:rsidP="007157A6">
            <w:pPr>
              <w:rPr>
                <w:lang w:val="en-GB"/>
              </w:rPr>
            </w:pPr>
          </w:p>
        </w:tc>
        <w:tc>
          <w:tcPr>
            <w:tcW w:w="3544" w:type="dxa"/>
          </w:tcPr>
          <w:p w14:paraId="318CFA47" w14:textId="77777777" w:rsidR="007157A6" w:rsidRPr="007157A6" w:rsidRDefault="007157A6" w:rsidP="007157A6">
            <w:pPr>
              <w:rPr>
                <w:lang w:val="en-GB"/>
              </w:rPr>
            </w:pPr>
            <w:r w:rsidRPr="007157A6">
              <w:rPr>
                <w:lang w:val="en-GB"/>
              </w:rPr>
              <w:t>Level of ambition</w:t>
            </w:r>
          </w:p>
        </w:tc>
        <w:tc>
          <w:tcPr>
            <w:tcW w:w="418" w:type="dxa"/>
          </w:tcPr>
          <w:p w14:paraId="086A4DC4" w14:textId="77777777" w:rsidR="007157A6" w:rsidRPr="007157A6" w:rsidRDefault="007157A6" w:rsidP="007157A6">
            <w:pPr>
              <w:rPr>
                <w:lang w:val="en-GB"/>
              </w:rPr>
            </w:pPr>
          </w:p>
        </w:tc>
        <w:tc>
          <w:tcPr>
            <w:tcW w:w="418" w:type="dxa"/>
          </w:tcPr>
          <w:p w14:paraId="7135FA41" w14:textId="77777777" w:rsidR="007157A6" w:rsidRPr="007157A6" w:rsidRDefault="007157A6" w:rsidP="007157A6">
            <w:pPr>
              <w:rPr>
                <w:lang w:val="en-GB"/>
              </w:rPr>
            </w:pPr>
          </w:p>
        </w:tc>
        <w:tc>
          <w:tcPr>
            <w:tcW w:w="418" w:type="dxa"/>
          </w:tcPr>
          <w:p w14:paraId="3ECE91F4" w14:textId="77777777" w:rsidR="007157A6" w:rsidRPr="007157A6" w:rsidRDefault="007157A6" w:rsidP="007157A6">
            <w:pPr>
              <w:rPr>
                <w:lang w:val="en-GB"/>
              </w:rPr>
            </w:pPr>
          </w:p>
        </w:tc>
        <w:tc>
          <w:tcPr>
            <w:tcW w:w="418" w:type="dxa"/>
          </w:tcPr>
          <w:p w14:paraId="15C202F4" w14:textId="77777777" w:rsidR="007157A6" w:rsidRPr="007157A6" w:rsidRDefault="007157A6" w:rsidP="007157A6">
            <w:pPr>
              <w:rPr>
                <w:lang w:val="en-GB"/>
              </w:rPr>
            </w:pPr>
          </w:p>
        </w:tc>
        <w:tc>
          <w:tcPr>
            <w:tcW w:w="419" w:type="dxa"/>
          </w:tcPr>
          <w:p w14:paraId="4EF7FECA" w14:textId="77777777" w:rsidR="007157A6" w:rsidRPr="007157A6" w:rsidRDefault="007157A6" w:rsidP="007157A6">
            <w:pPr>
              <w:rPr>
                <w:lang w:val="en-GB"/>
              </w:rPr>
            </w:pPr>
          </w:p>
        </w:tc>
      </w:tr>
      <w:tr w:rsidR="007157A6" w:rsidRPr="007157A6" w14:paraId="25481667" w14:textId="77777777" w:rsidTr="00C850ED">
        <w:trPr>
          <w:trHeight w:val="999"/>
        </w:trPr>
        <w:tc>
          <w:tcPr>
            <w:tcW w:w="8642" w:type="dxa"/>
            <w:vMerge/>
          </w:tcPr>
          <w:p w14:paraId="7C02F171" w14:textId="77777777" w:rsidR="007157A6" w:rsidRPr="007157A6" w:rsidRDefault="007157A6" w:rsidP="007157A6">
            <w:pPr>
              <w:rPr>
                <w:lang w:val="en-GB"/>
              </w:rPr>
            </w:pPr>
          </w:p>
        </w:tc>
        <w:tc>
          <w:tcPr>
            <w:tcW w:w="3544" w:type="dxa"/>
          </w:tcPr>
          <w:p w14:paraId="17F57404" w14:textId="77777777" w:rsidR="007157A6" w:rsidRPr="007157A6" w:rsidRDefault="007157A6" w:rsidP="007157A6">
            <w:pPr>
              <w:rPr>
                <w:lang w:val="en-GB"/>
              </w:rPr>
            </w:pPr>
            <w:r w:rsidRPr="007157A6">
              <w:rPr>
                <w:lang w:val="en-GB"/>
              </w:rPr>
              <w:t>Practicability</w:t>
            </w:r>
          </w:p>
        </w:tc>
        <w:tc>
          <w:tcPr>
            <w:tcW w:w="418" w:type="dxa"/>
          </w:tcPr>
          <w:p w14:paraId="3E706996" w14:textId="77777777" w:rsidR="007157A6" w:rsidRPr="007157A6" w:rsidRDefault="007157A6" w:rsidP="007157A6">
            <w:pPr>
              <w:rPr>
                <w:lang w:val="en-GB"/>
              </w:rPr>
            </w:pPr>
          </w:p>
        </w:tc>
        <w:tc>
          <w:tcPr>
            <w:tcW w:w="418" w:type="dxa"/>
          </w:tcPr>
          <w:p w14:paraId="798F78CE" w14:textId="77777777" w:rsidR="007157A6" w:rsidRPr="007157A6" w:rsidRDefault="007157A6" w:rsidP="007157A6">
            <w:pPr>
              <w:rPr>
                <w:lang w:val="en-GB"/>
              </w:rPr>
            </w:pPr>
          </w:p>
        </w:tc>
        <w:tc>
          <w:tcPr>
            <w:tcW w:w="418" w:type="dxa"/>
          </w:tcPr>
          <w:p w14:paraId="101A6476" w14:textId="77777777" w:rsidR="007157A6" w:rsidRPr="007157A6" w:rsidRDefault="007157A6" w:rsidP="007157A6">
            <w:pPr>
              <w:rPr>
                <w:lang w:val="en-GB"/>
              </w:rPr>
            </w:pPr>
          </w:p>
        </w:tc>
        <w:tc>
          <w:tcPr>
            <w:tcW w:w="418" w:type="dxa"/>
          </w:tcPr>
          <w:p w14:paraId="5F8CAC73" w14:textId="77777777" w:rsidR="007157A6" w:rsidRPr="007157A6" w:rsidRDefault="007157A6" w:rsidP="007157A6">
            <w:pPr>
              <w:rPr>
                <w:lang w:val="en-GB"/>
              </w:rPr>
            </w:pPr>
          </w:p>
        </w:tc>
        <w:tc>
          <w:tcPr>
            <w:tcW w:w="419" w:type="dxa"/>
          </w:tcPr>
          <w:p w14:paraId="32C0B0B6" w14:textId="77777777" w:rsidR="007157A6" w:rsidRPr="007157A6" w:rsidRDefault="007157A6" w:rsidP="007157A6">
            <w:pPr>
              <w:rPr>
                <w:lang w:val="en-GB"/>
              </w:rPr>
            </w:pPr>
          </w:p>
        </w:tc>
      </w:tr>
      <w:tr w:rsidR="007157A6" w:rsidRPr="007157A6" w14:paraId="1435B81F" w14:textId="77777777" w:rsidTr="00C850ED">
        <w:trPr>
          <w:trHeight w:val="1000"/>
        </w:trPr>
        <w:tc>
          <w:tcPr>
            <w:tcW w:w="8642" w:type="dxa"/>
            <w:vMerge/>
          </w:tcPr>
          <w:p w14:paraId="5990308D" w14:textId="77777777" w:rsidR="007157A6" w:rsidRPr="007157A6" w:rsidRDefault="007157A6" w:rsidP="007157A6">
            <w:pPr>
              <w:rPr>
                <w:lang w:val="en-GB"/>
              </w:rPr>
            </w:pPr>
          </w:p>
        </w:tc>
        <w:tc>
          <w:tcPr>
            <w:tcW w:w="3544" w:type="dxa"/>
          </w:tcPr>
          <w:p w14:paraId="0BA387D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B9EE4D3" w14:textId="77777777" w:rsidR="007157A6" w:rsidRPr="007157A6" w:rsidRDefault="007157A6" w:rsidP="007157A6">
            <w:pPr>
              <w:rPr>
                <w:lang w:val="en-GB"/>
              </w:rPr>
            </w:pPr>
          </w:p>
        </w:tc>
        <w:tc>
          <w:tcPr>
            <w:tcW w:w="418" w:type="dxa"/>
          </w:tcPr>
          <w:p w14:paraId="39BD4274" w14:textId="77777777" w:rsidR="007157A6" w:rsidRPr="007157A6" w:rsidRDefault="007157A6" w:rsidP="007157A6">
            <w:pPr>
              <w:rPr>
                <w:lang w:val="en-GB"/>
              </w:rPr>
            </w:pPr>
          </w:p>
        </w:tc>
        <w:tc>
          <w:tcPr>
            <w:tcW w:w="418" w:type="dxa"/>
          </w:tcPr>
          <w:p w14:paraId="2CAB20C7" w14:textId="77777777" w:rsidR="007157A6" w:rsidRPr="007157A6" w:rsidRDefault="007157A6" w:rsidP="007157A6">
            <w:pPr>
              <w:rPr>
                <w:lang w:val="en-GB"/>
              </w:rPr>
            </w:pPr>
          </w:p>
        </w:tc>
        <w:tc>
          <w:tcPr>
            <w:tcW w:w="418" w:type="dxa"/>
          </w:tcPr>
          <w:p w14:paraId="3C153475" w14:textId="77777777" w:rsidR="007157A6" w:rsidRPr="007157A6" w:rsidRDefault="007157A6" w:rsidP="007157A6">
            <w:pPr>
              <w:rPr>
                <w:lang w:val="en-GB"/>
              </w:rPr>
            </w:pPr>
          </w:p>
        </w:tc>
        <w:tc>
          <w:tcPr>
            <w:tcW w:w="419" w:type="dxa"/>
          </w:tcPr>
          <w:p w14:paraId="148A2EE5" w14:textId="77777777" w:rsidR="007157A6" w:rsidRPr="007157A6" w:rsidRDefault="007157A6" w:rsidP="007157A6">
            <w:pPr>
              <w:rPr>
                <w:lang w:val="en-GB"/>
              </w:rPr>
            </w:pPr>
          </w:p>
        </w:tc>
      </w:tr>
      <w:tr w:rsidR="007157A6" w:rsidRPr="007157A6" w14:paraId="1FD82FC0" w14:textId="77777777" w:rsidTr="00C850ED">
        <w:tc>
          <w:tcPr>
            <w:tcW w:w="8642" w:type="dxa"/>
            <w:shd w:val="clear" w:color="auto" w:fill="D9D9D9" w:themeFill="background1" w:themeFillShade="D9"/>
          </w:tcPr>
          <w:p w14:paraId="6BE54830"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560F4BDA"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23DDD21F"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FD2C6A2"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241AE063"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361EFDE6"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5DFF226A" w14:textId="77777777" w:rsidR="007157A6" w:rsidRPr="007157A6" w:rsidRDefault="007157A6" w:rsidP="007157A6">
            <w:pPr>
              <w:rPr>
                <w:b/>
                <w:lang w:val="en-GB"/>
              </w:rPr>
            </w:pPr>
            <w:r w:rsidRPr="007157A6">
              <w:rPr>
                <w:b/>
                <w:lang w:val="en-GB"/>
              </w:rPr>
              <w:t>1</w:t>
            </w:r>
          </w:p>
        </w:tc>
      </w:tr>
      <w:tr w:rsidR="007157A6" w:rsidRPr="007157A6" w14:paraId="16C137DD" w14:textId="77777777" w:rsidTr="00C850ED">
        <w:trPr>
          <w:trHeight w:val="1201"/>
        </w:trPr>
        <w:tc>
          <w:tcPr>
            <w:tcW w:w="8642" w:type="dxa"/>
            <w:vMerge w:val="restart"/>
          </w:tcPr>
          <w:p w14:paraId="43AC9A2A" w14:textId="77777777" w:rsidR="007157A6" w:rsidRPr="007157A6" w:rsidRDefault="007157A6" w:rsidP="007157A6">
            <w:pPr>
              <w:rPr>
                <w:lang w:val="en-GB"/>
              </w:rPr>
            </w:pPr>
            <w:r w:rsidRPr="007157A6">
              <w:rPr>
                <w:lang w:val="en-GB"/>
              </w:rPr>
              <w:t>Basic review of the existing supervisory framework for all affected financial market players at the (European and) national level as to the maturity of their effect and their time horizon. As part of the review mandated by the European Commission, the European Supervisory Authorities (ESAs) submitted their respective reports at the end of 2019. In the view of the Sustainable Finance Committee, these reports do not provide conclusive answers to the conflict between a short-term oriented supervisory framework and long-term sustainability risks. Further analysis is required, as the analysis at the European level cannot by definition provide in-depth examinations of national specificities which is especially important in this context. In this connection, the appropriate selection of both the observation period and the term applicable to the requirements and ramifications of the supervisory regime depends on the given financial market player and their business model and/or the product range and thus should be specifically aligned with such parameters. The transposition into national law of the applicable EU supervisory framework makes it more difficult and/or impossible  for individual players exposed to long-term obligations (e.g. pension institutions in particular) – which may, at the same time, be important investors in connection with the transformation – to align their investment policies with the long-term goals of their business model.</w:t>
            </w:r>
          </w:p>
        </w:tc>
        <w:tc>
          <w:tcPr>
            <w:tcW w:w="3544" w:type="dxa"/>
          </w:tcPr>
          <w:p w14:paraId="4FA306B0" w14:textId="77777777" w:rsidR="007157A6" w:rsidRPr="007157A6" w:rsidRDefault="007157A6" w:rsidP="007157A6">
            <w:pPr>
              <w:rPr>
                <w:lang w:val="en-GB"/>
              </w:rPr>
            </w:pPr>
            <w:r w:rsidRPr="007157A6">
              <w:rPr>
                <w:lang w:val="en-GB"/>
              </w:rPr>
              <w:t>Will foster Sustainable Finance in Germany</w:t>
            </w:r>
          </w:p>
        </w:tc>
        <w:tc>
          <w:tcPr>
            <w:tcW w:w="418" w:type="dxa"/>
          </w:tcPr>
          <w:p w14:paraId="3C446814" w14:textId="77777777" w:rsidR="007157A6" w:rsidRPr="007157A6" w:rsidRDefault="007157A6" w:rsidP="007157A6">
            <w:pPr>
              <w:rPr>
                <w:lang w:val="en-GB"/>
              </w:rPr>
            </w:pPr>
          </w:p>
        </w:tc>
        <w:tc>
          <w:tcPr>
            <w:tcW w:w="418" w:type="dxa"/>
          </w:tcPr>
          <w:p w14:paraId="27598E73" w14:textId="77777777" w:rsidR="007157A6" w:rsidRPr="007157A6" w:rsidRDefault="007157A6" w:rsidP="007157A6">
            <w:pPr>
              <w:rPr>
                <w:lang w:val="en-GB"/>
              </w:rPr>
            </w:pPr>
          </w:p>
        </w:tc>
        <w:tc>
          <w:tcPr>
            <w:tcW w:w="418" w:type="dxa"/>
          </w:tcPr>
          <w:p w14:paraId="31BA9AAF" w14:textId="77777777" w:rsidR="007157A6" w:rsidRPr="007157A6" w:rsidRDefault="007157A6" w:rsidP="007157A6">
            <w:pPr>
              <w:rPr>
                <w:lang w:val="en-GB"/>
              </w:rPr>
            </w:pPr>
          </w:p>
        </w:tc>
        <w:tc>
          <w:tcPr>
            <w:tcW w:w="418" w:type="dxa"/>
          </w:tcPr>
          <w:p w14:paraId="5ECCFB4C" w14:textId="77777777" w:rsidR="007157A6" w:rsidRPr="007157A6" w:rsidRDefault="007157A6" w:rsidP="007157A6">
            <w:pPr>
              <w:rPr>
                <w:lang w:val="en-GB"/>
              </w:rPr>
            </w:pPr>
          </w:p>
        </w:tc>
        <w:tc>
          <w:tcPr>
            <w:tcW w:w="419" w:type="dxa"/>
          </w:tcPr>
          <w:p w14:paraId="78D176A3" w14:textId="77777777" w:rsidR="007157A6" w:rsidRPr="007157A6" w:rsidRDefault="007157A6" w:rsidP="007157A6">
            <w:pPr>
              <w:rPr>
                <w:lang w:val="en-GB"/>
              </w:rPr>
            </w:pPr>
          </w:p>
        </w:tc>
      </w:tr>
      <w:tr w:rsidR="007157A6" w:rsidRPr="007157A6" w14:paraId="41D98B68" w14:textId="77777777" w:rsidTr="00C850ED">
        <w:trPr>
          <w:trHeight w:val="1201"/>
        </w:trPr>
        <w:tc>
          <w:tcPr>
            <w:tcW w:w="8642" w:type="dxa"/>
            <w:vMerge/>
          </w:tcPr>
          <w:p w14:paraId="0D88DB73" w14:textId="77777777" w:rsidR="007157A6" w:rsidRPr="007157A6" w:rsidRDefault="007157A6" w:rsidP="007157A6">
            <w:pPr>
              <w:rPr>
                <w:lang w:val="en-GB"/>
              </w:rPr>
            </w:pPr>
          </w:p>
        </w:tc>
        <w:tc>
          <w:tcPr>
            <w:tcW w:w="3544" w:type="dxa"/>
          </w:tcPr>
          <w:p w14:paraId="56578D2A" w14:textId="77777777" w:rsidR="007157A6" w:rsidRPr="007157A6" w:rsidRDefault="007157A6" w:rsidP="007157A6">
            <w:pPr>
              <w:rPr>
                <w:lang w:val="en-GB"/>
              </w:rPr>
            </w:pPr>
            <w:r w:rsidRPr="007157A6">
              <w:rPr>
                <w:lang w:val="en-GB"/>
              </w:rPr>
              <w:t>Level of ambition</w:t>
            </w:r>
          </w:p>
        </w:tc>
        <w:tc>
          <w:tcPr>
            <w:tcW w:w="418" w:type="dxa"/>
          </w:tcPr>
          <w:p w14:paraId="77CF5B8C" w14:textId="77777777" w:rsidR="007157A6" w:rsidRPr="007157A6" w:rsidRDefault="007157A6" w:rsidP="007157A6">
            <w:pPr>
              <w:rPr>
                <w:lang w:val="en-GB"/>
              </w:rPr>
            </w:pPr>
          </w:p>
        </w:tc>
        <w:tc>
          <w:tcPr>
            <w:tcW w:w="418" w:type="dxa"/>
          </w:tcPr>
          <w:p w14:paraId="68F7FB26" w14:textId="77777777" w:rsidR="007157A6" w:rsidRPr="007157A6" w:rsidRDefault="007157A6" w:rsidP="007157A6">
            <w:pPr>
              <w:rPr>
                <w:lang w:val="en-GB"/>
              </w:rPr>
            </w:pPr>
          </w:p>
        </w:tc>
        <w:tc>
          <w:tcPr>
            <w:tcW w:w="418" w:type="dxa"/>
          </w:tcPr>
          <w:p w14:paraId="0C6AD339" w14:textId="77777777" w:rsidR="007157A6" w:rsidRPr="007157A6" w:rsidRDefault="007157A6" w:rsidP="007157A6">
            <w:pPr>
              <w:rPr>
                <w:lang w:val="en-GB"/>
              </w:rPr>
            </w:pPr>
          </w:p>
        </w:tc>
        <w:tc>
          <w:tcPr>
            <w:tcW w:w="418" w:type="dxa"/>
          </w:tcPr>
          <w:p w14:paraId="7935F331" w14:textId="77777777" w:rsidR="007157A6" w:rsidRPr="007157A6" w:rsidRDefault="007157A6" w:rsidP="007157A6">
            <w:pPr>
              <w:rPr>
                <w:lang w:val="en-GB"/>
              </w:rPr>
            </w:pPr>
          </w:p>
        </w:tc>
        <w:tc>
          <w:tcPr>
            <w:tcW w:w="419" w:type="dxa"/>
          </w:tcPr>
          <w:p w14:paraId="25BF9590" w14:textId="77777777" w:rsidR="007157A6" w:rsidRPr="007157A6" w:rsidRDefault="007157A6" w:rsidP="007157A6">
            <w:pPr>
              <w:rPr>
                <w:lang w:val="en-GB"/>
              </w:rPr>
            </w:pPr>
          </w:p>
        </w:tc>
      </w:tr>
      <w:tr w:rsidR="007157A6" w:rsidRPr="007157A6" w14:paraId="2410D210" w14:textId="77777777" w:rsidTr="00C850ED">
        <w:trPr>
          <w:trHeight w:val="1201"/>
        </w:trPr>
        <w:tc>
          <w:tcPr>
            <w:tcW w:w="8642" w:type="dxa"/>
            <w:vMerge/>
          </w:tcPr>
          <w:p w14:paraId="51C5E34E" w14:textId="77777777" w:rsidR="007157A6" w:rsidRPr="007157A6" w:rsidRDefault="007157A6" w:rsidP="007157A6">
            <w:pPr>
              <w:rPr>
                <w:lang w:val="en-GB"/>
              </w:rPr>
            </w:pPr>
          </w:p>
        </w:tc>
        <w:tc>
          <w:tcPr>
            <w:tcW w:w="3544" w:type="dxa"/>
          </w:tcPr>
          <w:p w14:paraId="2FAE0EF7" w14:textId="77777777" w:rsidR="007157A6" w:rsidRPr="007157A6" w:rsidRDefault="007157A6" w:rsidP="007157A6">
            <w:pPr>
              <w:rPr>
                <w:lang w:val="en-GB"/>
              </w:rPr>
            </w:pPr>
            <w:r w:rsidRPr="007157A6">
              <w:rPr>
                <w:lang w:val="en-GB"/>
              </w:rPr>
              <w:t>Practicability</w:t>
            </w:r>
          </w:p>
        </w:tc>
        <w:tc>
          <w:tcPr>
            <w:tcW w:w="418" w:type="dxa"/>
          </w:tcPr>
          <w:p w14:paraId="4380D539" w14:textId="77777777" w:rsidR="007157A6" w:rsidRPr="007157A6" w:rsidRDefault="007157A6" w:rsidP="007157A6">
            <w:pPr>
              <w:rPr>
                <w:lang w:val="en-GB"/>
              </w:rPr>
            </w:pPr>
          </w:p>
        </w:tc>
        <w:tc>
          <w:tcPr>
            <w:tcW w:w="418" w:type="dxa"/>
          </w:tcPr>
          <w:p w14:paraId="4080CE17" w14:textId="77777777" w:rsidR="007157A6" w:rsidRPr="007157A6" w:rsidRDefault="007157A6" w:rsidP="007157A6">
            <w:pPr>
              <w:rPr>
                <w:lang w:val="en-GB"/>
              </w:rPr>
            </w:pPr>
          </w:p>
        </w:tc>
        <w:tc>
          <w:tcPr>
            <w:tcW w:w="418" w:type="dxa"/>
          </w:tcPr>
          <w:p w14:paraId="286F0ECA" w14:textId="77777777" w:rsidR="007157A6" w:rsidRPr="007157A6" w:rsidRDefault="007157A6" w:rsidP="007157A6">
            <w:pPr>
              <w:rPr>
                <w:lang w:val="en-GB"/>
              </w:rPr>
            </w:pPr>
          </w:p>
        </w:tc>
        <w:tc>
          <w:tcPr>
            <w:tcW w:w="418" w:type="dxa"/>
          </w:tcPr>
          <w:p w14:paraId="47972B55" w14:textId="77777777" w:rsidR="007157A6" w:rsidRPr="007157A6" w:rsidRDefault="007157A6" w:rsidP="007157A6">
            <w:pPr>
              <w:rPr>
                <w:lang w:val="en-GB"/>
              </w:rPr>
            </w:pPr>
          </w:p>
        </w:tc>
        <w:tc>
          <w:tcPr>
            <w:tcW w:w="419" w:type="dxa"/>
          </w:tcPr>
          <w:p w14:paraId="0D662E74" w14:textId="77777777" w:rsidR="007157A6" w:rsidRPr="007157A6" w:rsidRDefault="007157A6" w:rsidP="007157A6">
            <w:pPr>
              <w:rPr>
                <w:lang w:val="en-GB"/>
              </w:rPr>
            </w:pPr>
          </w:p>
        </w:tc>
      </w:tr>
      <w:tr w:rsidR="007157A6" w:rsidRPr="007157A6" w14:paraId="02C8236E" w14:textId="77777777" w:rsidTr="00C850ED">
        <w:trPr>
          <w:trHeight w:val="1201"/>
        </w:trPr>
        <w:tc>
          <w:tcPr>
            <w:tcW w:w="8642" w:type="dxa"/>
            <w:vMerge/>
          </w:tcPr>
          <w:p w14:paraId="345772F3" w14:textId="77777777" w:rsidR="007157A6" w:rsidRPr="007157A6" w:rsidRDefault="007157A6" w:rsidP="007157A6">
            <w:pPr>
              <w:rPr>
                <w:lang w:val="en-GB"/>
              </w:rPr>
            </w:pPr>
          </w:p>
        </w:tc>
        <w:tc>
          <w:tcPr>
            <w:tcW w:w="3544" w:type="dxa"/>
          </w:tcPr>
          <w:p w14:paraId="19E1A487"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00719721" w14:textId="77777777" w:rsidR="007157A6" w:rsidRPr="007157A6" w:rsidRDefault="007157A6" w:rsidP="007157A6">
            <w:pPr>
              <w:rPr>
                <w:lang w:val="en-GB"/>
              </w:rPr>
            </w:pPr>
          </w:p>
        </w:tc>
        <w:tc>
          <w:tcPr>
            <w:tcW w:w="418" w:type="dxa"/>
          </w:tcPr>
          <w:p w14:paraId="20BF766D" w14:textId="77777777" w:rsidR="007157A6" w:rsidRPr="007157A6" w:rsidRDefault="007157A6" w:rsidP="007157A6">
            <w:pPr>
              <w:rPr>
                <w:lang w:val="en-GB"/>
              </w:rPr>
            </w:pPr>
          </w:p>
        </w:tc>
        <w:tc>
          <w:tcPr>
            <w:tcW w:w="418" w:type="dxa"/>
          </w:tcPr>
          <w:p w14:paraId="6C2EF83B" w14:textId="77777777" w:rsidR="007157A6" w:rsidRPr="007157A6" w:rsidRDefault="007157A6" w:rsidP="007157A6">
            <w:pPr>
              <w:rPr>
                <w:lang w:val="en-GB"/>
              </w:rPr>
            </w:pPr>
          </w:p>
        </w:tc>
        <w:tc>
          <w:tcPr>
            <w:tcW w:w="418" w:type="dxa"/>
          </w:tcPr>
          <w:p w14:paraId="60F5E375" w14:textId="77777777" w:rsidR="007157A6" w:rsidRPr="007157A6" w:rsidRDefault="007157A6" w:rsidP="007157A6">
            <w:pPr>
              <w:rPr>
                <w:lang w:val="en-GB"/>
              </w:rPr>
            </w:pPr>
          </w:p>
        </w:tc>
        <w:tc>
          <w:tcPr>
            <w:tcW w:w="419" w:type="dxa"/>
          </w:tcPr>
          <w:p w14:paraId="5423F703" w14:textId="77777777" w:rsidR="007157A6" w:rsidRPr="007157A6" w:rsidRDefault="007157A6" w:rsidP="007157A6">
            <w:pPr>
              <w:rPr>
                <w:lang w:val="en-GB"/>
              </w:rPr>
            </w:pPr>
          </w:p>
        </w:tc>
      </w:tr>
      <w:tr w:rsidR="007157A6" w:rsidRPr="007157A6" w14:paraId="48163D2F" w14:textId="77777777" w:rsidTr="00C850ED">
        <w:tc>
          <w:tcPr>
            <w:tcW w:w="8642" w:type="dxa"/>
            <w:shd w:val="clear" w:color="auto" w:fill="D9D9D9" w:themeFill="background1" w:themeFillShade="D9"/>
          </w:tcPr>
          <w:p w14:paraId="5303F7AB"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A414A9E"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5D864AB"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99AC2B9"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12CFB70"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25B6D56D"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722672FD" w14:textId="77777777" w:rsidR="007157A6" w:rsidRPr="007157A6" w:rsidRDefault="007157A6" w:rsidP="007157A6">
            <w:pPr>
              <w:rPr>
                <w:lang w:val="en-GB"/>
              </w:rPr>
            </w:pPr>
            <w:r w:rsidRPr="007157A6">
              <w:rPr>
                <w:b/>
                <w:lang w:val="en-GB"/>
              </w:rPr>
              <w:t>1</w:t>
            </w:r>
          </w:p>
        </w:tc>
      </w:tr>
      <w:tr w:rsidR="007157A6" w:rsidRPr="007157A6" w14:paraId="0EC8F8D3" w14:textId="77777777" w:rsidTr="00C850ED">
        <w:trPr>
          <w:trHeight w:val="664"/>
        </w:trPr>
        <w:tc>
          <w:tcPr>
            <w:tcW w:w="8642" w:type="dxa"/>
            <w:vMerge w:val="restart"/>
          </w:tcPr>
          <w:p w14:paraId="183615DC" w14:textId="77777777" w:rsidR="007157A6" w:rsidRPr="007157A6" w:rsidRDefault="007157A6" w:rsidP="007157A6">
            <w:pPr>
              <w:rPr>
                <w:lang w:val="en-GB"/>
              </w:rPr>
            </w:pPr>
            <w:r w:rsidRPr="007157A6">
              <w:rPr>
                <w:lang w:val="en-GB"/>
              </w:rPr>
              <w:t xml:space="preserve">It is inevitable to consider additional ecological and social factors besides climate protection in business decisions. In practice, this necessarily leads to situations where goals must be weighed against each other. Sustainability rating agencies have developed finely-tuned methods in recent years to show how to handle such conflicts and how to integrate </w:t>
            </w:r>
            <w:r w:rsidRPr="007157A6">
              <w:rPr>
                <w:lang w:val="en-GB"/>
              </w:rPr>
              <w:lastRenderedPageBreak/>
              <w:t>sustainability parameters into decisions. A generally accessible dialogue platform as well as instruments should be developed on that basis to provide support, transparently and efficiently, through assistance and decision-making aids in case of conflicting goals. They could be incorporated into the permanent working structure of the Sustainable Finance Committee (see section 1.2).</w:t>
            </w:r>
          </w:p>
        </w:tc>
        <w:tc>
          <w:tcPr>
            <w:tcW w:w="3544" w:type="dxa"/>
          </w:tcPr>
          <w:p w14:paraId="6DF14DF8"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5D491402" w14:textId="77777777" w:rsidR="007157A6" w:rsidRPr="007157A6" w:rsidRDefault="007157A6" w:rsidP="007157A6">
            <w:pPr>
              <w:rPr>
                <w:lang w:val="en-GB"/>
              </w:rPr>
            </w:pPr>
          </w:p>
        </w:tc>
        <w:tc>
          <w:tcPr>
            <w:tcW w:w="418" w:type="dxa"/>
          </w:tcPr>
          <w:p w14:paraId="579186BD" w14:textId="77777777" w:rsidR="007157A6" w:rsidRPr="007157A6" w:rsidRDefault="007157A6" w:rsidP="007157A6">
            <w:pPr>
              <w:rPr>
                <w:lang w:val="en-GB"/>
              </w:rPr>
            </w:pPr>
          </w:p>
        </w:tc>
        <w:tc>
          <w:tcPr>
            <w:tcW w:w="418" w:type="dxa"/>
          </w:tcPr>
          <w:p w14:paraId="04EADDBA" w14:textId="77777777" w:rsidR="007157A6" w:rsidRPr="007157A6" w:rsidRDefault="007157A6" w:rsidP="007157A6">
            <w:pPr>
              <w:rPr>
                <w:lang w:val="en-GB"/>
              </w:rPr>
            </w:pPr>
          </w:p>
        </w:tc>
        <w:tc>
          <w:tcPr>
            <w:tcW w:w="418" w:type="dxa"/>
          </w:tcPr>
          <w:p w14:paraId="4148CC9C" w14:textId="77777777" w:rsidR="007157A6" w:rsidRPr="007157A6" w:rsidRDefault="007157A6" w:rsidP="007157A6">
            <w:pPr>
              <w:rPr>
                <w:lang w:val="en-GB"/>
              </w:rPr>
            </w:pPr>
          </w:p>
        </w:tc>
        <w:tc>
          <w:tcPr>
            <w:tcW w:w="419" w:type="dxa"/>
          </w:tcPr>
          <w:p w14:paraId="20DE64AD" w14:textId="77777777" w:rsidR="007157A6" w:rsidRPr="007157A6" w:rsidRDefault="007157A6" w:rsidP="007157A6">
            <w:pPr>
              <w:rPr>
                <w:lang w:val="en-GB"/>
              </w:rPr>
            </w:pPr>
          </w:p>
        </w:tc>
      </w:tr>
      <w:tr w:rsidR="007157A6" w:rsidRPr="007157A6" w14:paraId="7C33507D" w14:textId="77777777" w:rsidTr="00C850ED">
        <w:trPr>
          <w:trHeight w:val="664"/>
        </w:trPr>
        <w:tc>
          <w:tcPr>
            <w:tcW w:w="8642" w:type="dxa"/>
            <w:vMerge/>
          </w:tcPr>
          <w:p w14:paraId="4EFE5E10" w14:textId="77777777" w:rsidR="007157A6" w:rsidRPr="007157A6" w:rsidRDefault="007157A6" w:rsidP="007157A6">
            <w:pPr>
              <w:rPr>
                <w:lang w:val="en-GB"/>
              </w:rPr>
            </w:pPr>
          </w:p>
        </w:tc>
        <w:tc>
          <w:tcPr>
            <w:tcW w:w="3544" w:type="dxa"/>
          </w:tcPr>
          <w:p w14:paraId="0F6B7A7C" w14:textId="77777777" w:rsidR="007157A6" w:rsidRPr="007157A6" w:rsidRDefault="007157A6" w:rsidP="007157A6">
            <w:pPr>
              <w:rPr>
                <w:lang w:val="en-GB"/>
              </w:rPr>
            </w:pPr>
            <w:r w:rsidRPr="007157A6">
              <w:rPr>
                <w:lang w:val="en-GB"/>
              </w:rPr>
              <w:t>Level of ambition</w:t>
            </w:r>
          </w:p>
        </w:tc>
        <w:tc>
          <w:tcPr>
            <w:tcW w:w="418" w:type="dxa"/>
          </w:tcPr>
          <w:p w14:paraId="2946A564" w14:textId="77777777" w:rsidR="007157A6" w:rsidRPr="007157A6" w:rsidRDefault="007157A6" w:rsidP="007157A6">
            <w:pPr>
              <w:rPr>
                <w:lang w:val="en-GB"/>
              </w:rPr>
            </w:pPr>
          </w:p>
        </w:tc>
        <w:tc>
          <w:tcPr>
            <w:tcW w:w="418" w:type="dxa"/>
          </w:tcPr>
          <w:p w14:paraId="1643A59A" w14:textId="77777777" w:rsidR="007157A6" w:rsidRPr="007157A6" w:rsidRDefault="007157A6" w:rsidP="007157A6">
            <w:pPr>
              <w:rPr>
                <w:lang w:val="en-GB"/>
              </w:rPr>
            </w:pPr>
          </w:p>
        </w:tc>
        <w:tc>
          <w:tcPr>
            <w:tcW w:w="418" w:type="dxa"/>
          </w:tcPr>
          <w:p w14:paraId="3C34C83B" w14:textId="77777777" w:rsidR="007157A6" w:rsidRPr="007157A6" w:rsidRDefault="007157A6" w:rsidP="007157A6">
            <w:pPr>
              <w:rPr>
                <w:lang w:val="en-GB"/>
              </w:rPr>
            </w:pPr>
          </w:p>
        </w:tc>
        <w:tc>
          <w:tcPr>
            <w:tcW w:w="418" w:type="dxa"/>
          </w:tcPr>
          <w:p w14:paraId="4FF25D9E" w14:textId="77777777" w:rsidR="007157A6" w:rsidRPr="007157A6" w:rsidRDefault="007157A6" w:rsidP="007157A6">
            <w:pPr>
              <w:rPr>
                <w:lang w:val="en-GB"/>
              </w:rPr>
            </w:pPr>
          </w:p>
        </w:tc>
        <w:tc>
          <w:tcPr>
            <w:tcW w:w="419" w:type="dxa"/>
          </w:tcPr>
          <w:p w14:paraId="1FFE5C9A" w14:textId="77777777" w:rsidR="007157A6" w:rsidRPr="007157A6" w:rsidRDefault="007157A6" w:rsidP="007157A6">
            <w:pPr>
              <w:rPr>
                <w:lang w:val="en-GB"/>
              </w:rPr>
            </w:pPr>
          </w:p>
        </w:tc>
      </w:tr>
      <w:tr w:rsidR="007157A6" w:rsidRPr="007157A6" w14:paraId="15230537" w14:textId="77777777" w:rsidTr="00C850ED">
        <w:trPr>
          <w:trHeight w:val="664"/>
        </w:trPr>
        <w:tc>
          <w:tcPr>
            <w:tcW w:w="8642" w:type="dxa"/>
            <w:vMerge/>
          </w:tcPr>
          <w:p w14:paraId="57A3D5BA" w14:textId="77777777" w:rsidR="007157A6" w:rsidRPr="007157A6" w:rsidRDefault="007157A6" w:rsidP="007157A6">
            <w:pPr>
              <w:rPr>
                <w:lang w:val="en-GB"/>
              </w:rPr>
            </w:pPr>
          </w:p>
        </w:tc>
        <w:tc>
          <w:tcPr>
            <w:tcW w:w="3544" w:type="dxa"/>
          </w:tcPr>
          <w:p w14:paraId="434B2666" w14:textId="77777777" w:rsidR="007157A6" w:rsidRPr="007157A6" w:rsidRDefault="007157A6" w:rsidP="007157A6">
            <w:pPr>
              <w:rPr>
                <w:lang w:val="en-GB"/>
              </w:rPr>
            </w:pPr>
            <w:r w:rsidRPr="007157A6">
              <w:rPr>
                <w:lang w:val="en-GB"/>
              </w:rPr>
              <w:t>Practicability</w:t>
            </w:r>
          </w:p>
        </w:tc>
        <w:tc>
          <w:tcPr>
            <w:tcW w:w="418" w:type="dxa"/>
          </w:tcPr>
          <w:p w14:paraId="350CEB20" w14:textId="77777777" w:rsidR="007157A6" w:rsidRPr="007157A6" w:rsidRDefault="007157A6" w:rsidP="007157A6">
            <w:pPr>
              <w:rPr>
                <w:lang w:val="en-GB"/>
              </w:rPr>
            </w:pPr>
          </w:p>
        </w:tc>
        <w:tc>
          <w:tcPr>
            <w:tcW w:w="418" w:type="dxa"/>
          </w:tcPr>
          <w:p w14:paraId="4BA4FCD2" w14:textId="77777777" w:rsidR="007157A6" w:rsidRPr="007157A6" w:rsidRDefault="007157A6" w:rsidP="007157A6">
            <w:pPr>
              <w:rPr>
                <w:lang w:val="en-GB"/>
              </w:rPr>
            </w:pPr>
          </w:p>
        </w:tc>
        <w:tc>
          <w:tcPr>
            <w:tcW w:w="418" w:type="dxa"/>
          </w:tcPr>
          <w:p w14:paraId="1383E819" w14:textId="77777777" w:rsidR="007157A6" w:rsidRPr="007157A6" w:rsidRDefault="007157A6" w:rsidP="007157A6">
            <w:pPr>
              <w:rPr>
                <w:lang w:val="en-GB"/>
              </w:rPr>
            </w:pPr>
          </w:p>
        </w:tc>
        <w:tc>
          <w:tcPr>
            <w:tcW w:w="418" w:type="dxa"/>
          </w:tcPr>
          <w:p w14:paraId="466BB876" w14:textId="77777777" w:rsidR="007157A6" w:rsidRPr="007157A6" w:rsidRDefault="007157A6" w:rsidP="007157A6">
            <w:pPr>
              <w:rPr>
                <w:lang w:val="en-GB"/>
              </w:rPr>
            </w:pPr>
          </w:p>
        </w:tc>
        <w:tc>
          <w:tcPr>
            <w:tcW w:w="419" w:type="dxa"/>
          </w:tcPr>
          <w:p w14:paraId="2D90553E" w14:textId="77777777" w:rsidR="007157A6" w:rsidRPr="007157A6" w:rsidRDefault="007157A6" w:rsidP="007157A6">
            <w:pPr>
              <w:rPr>
                <w:lang w:val="en-GB"/>
              </w:rPr>
            </w:pPr>
          </w:p>
        </w:tc>
      </w:tr>
      <w:tr w:rsidR="007157A6" w:rsidRPr="007157A6" w14:paraId="6BDF7D1D" w14:textId="77777777" w:rsidTr="00C850ED">
        <w:trPr>
          <w:trHeight w:val="664"/>
        </w:trPr>
        <w:tc>
          <w:tcPr>
            <w:tcW w:w="8642" w:type="dxa"/>
            <w:vMerge/>
          </w:tcPr>
          <w:p w14:paraId="7B8BD2B6" w14:textId="77777777" w:rsidR="007157A6" w:rsidRPr="007157A6" w:rsidRDefault="007157A6" w:rsidP="007157A6">
            <w:pPr>
              <w:rPr>
                <w:lang w:val="en-GB"/>
              </w:rPr>
            </w:pPr>
          </w:p>
        </w:tc>
        <w:tc>
          <w:tcPr>
            <w:tcW w:w="3544" w:type="dxa"/>
          </w:tcPr>
          <w:p w14:paraId="3E1F981D"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D1B5E16" w14:textId="77777777" w:rsidR="007157A6" w:rsidRPr="007157A6" w:rsidRDefault="007157A6" w:rsidP="007157A6">
            <w:pPr>
              <w:rPr>
                <w:lang w:val="en-GB"/>
              </w:rPr>
            </w:pPr>
          </w:p>
        </w:tc>
        <w:tc>
          <w:tcPr>
            <w:tcW w:w="418" w:type="dxa"/>
          </w:tcPr>
          <w:p w14:paraId="7DF54BC1" w14:textId="77777777" w:rsidR="007157A6" w:rsidRPr="007157A6" w:rsidRDefault="007157A6" w:rsidP="007157A6">
            <w:pPr>
              <w:rPr>
                <w:lang w:val="en-GB"/>
              </w:rPr>
            </w:pPr>
          </w:p>
        </w:tc>
        <w:tc>
          <w:tcPr>
            <w:tcW w:w="418" w:type="dxa"/>
          </w:tcPr>
          <w:p w14:paraId="46681C2E" w14:textId="77777777" w:rsidR="007157A6" w:rsidRPr="007157A6" w:rsidRDefault="007157A6" w:rsidP="007157A6">
            <w:pPr>
              <w:rPr>
                <w:lang w:val="en-GB"/>
              </w:rPr>
            </w:pPr>
          </w:p>
        </w:tc>
        <w:tc>
          <w:tcPr>
            <w:tcW w:w="418" w:type="dxa"/>
          </w:tcPr>
          <w:p w14:paraId="230DEE4C" w14:textId="77777777" w:rsidR="007157A6" w:rsidRPr="007157A6" w:rsidRDefault="007157A6" w:rsidP="007157A6">
            <w:pPr>
              <w:rPr>
                <w:lang w:val="en-GB"/>
              </w:rPr>
            </w:pPr>
          </w:p>
        </w:tc>
        <w:tc>
          <w:tcPr>
            <w:tcW w:w="419" w:type="dxa"/>
          </w:tcPr>
          <w:p w14:paraId="687BAE6D" w14:textId="77777777" w:rsidR="007157A6" w:rsidRPr="007157A6" w:rsidRDefault="007157A6" w:rsidP="007157A6">
            <w:pPr>
              <w:rPr>
                <w:lang w:val="en-GB"/>
              </w:rPr>
            </w:pPr>
          </w:p>
        </w:tc>
      </w:tr>
      <w:tr w:rsidR="007157A6" w:rsidRPr="007157A6" w14:paraId="6EEF326E" w14:textId="77777777" w:rsidTr="00C850ED">
        <w:tc>
          <w:tcPr>
            <w:tcW w:w="8642" w:type="dxa"/>
            <w:shd w:val="clear" w:color="auto" w:fill="D9D9D9" w:themeFill="background1" w:themeFillShade="D9"/>
          </w:tcPr>
          <w:p w14:paraId="77CFA27D"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3999768"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65276AD"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49FBB78"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EE79E4A"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16B089D3"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DA430C2" w14:textId="77777777" w:rsidR="007157A6" w:rsidRPr="007157A6" w:rsidRDefault="007157A6" w:rsidP="007157A6">
            <w:pPr>
              <w:rPr>
                <w:lang w:val="en-GB"/>
              </w:rPr>
            </w:pPr>
            <w:r w:rsidRPr="007157A6">
              <w:rPr>
                <w:b/>
                <w:lang w:val="en-GB"/>
              </w:rPr>
              <w:t>1</w:t>
            </w:r>
          </w:p>
        </w:tc>
      </w:tr>
      <w:tr w:rsidR="007157A6" w:rsidRPr="007157A6" w14:paraId="57DC2288" w14:textId="77777777" w:rsidTr="00C850ED">
        <w:trPr>
          <w:trHeight w:val="537"/>
        </w:trPr>
        <w:tc>
          <w:tcPr>
            <w:tcW w:w="8642" w:type="dxa"/>
            <w:vMerge w:val="restart"/>
          </w:tcPr>
          <w:p w14:paraId="696E8963" w14:textId="77777777" w:rsidR="007157A6" w:rsidRPr="007157A6" w:rsidRDefault="007157A6" w:rsidP="007157A6">
            <w:pPr>
              <w:rPr>
                <w:lang w:val="en-GB"/>
              </w:rPr>
            </w:pPr>
            <w:r w:rsidRPr="007157A6">
              <w:rPr>
                <w:lang w:val="en-GB"/>
              </w:rPr>
              <w:t>Expand fundamental research on the ramifications of climate change in order to help insurers better assess future climate-induced risks for a given insurance company and its specific business model. It would be easier for insurers to cover real economy transition risks, for example, if they considered the impact of climate change in connection with the type and scope of a potential obligation from a loss event and if the findings made it possible to adjust individual insurers’ regionally or topically specific product range.</w:t>
            </w:r>
          </w:p>
        </w:tc>
        <w:tc>
          <w:tcPr>
            <w:tcW w:w="3544" w:type="dxa"/>
          </w:tcPr>
          <w:p w14:paraId="50999CAA" w14:textId="77777777" w:rsidR="007157A6" w:rsidRPr="007157A6" w:rsidRDefault="007157A6" w:rsidP="007157A6">
            <w:pPr>
              <w:rPr>
                <w:lang w:val="en-GB"/>
              </w:rPr>
            </w:pPr>
            <w:r w:rsidRPr="007157A6">
              <w:rPr>
                <w:lang w:val="en-GB"/>
              </w:rPr>
              <w:t>Will foster Sustainable Finance in Germany</w:t>
            </w:r>
          </w:p>
        </w:tc>
        <w:tc>
          <w:tcPr>
            <w:tcW w:w="418" w:type="dxa"/>
          </w:tcPr>
          <w:p w14:paraId="301C0FB5" w14:textId="77777777" w:rsidR="007157A6" w:rsidRPr="007157A6" w:rsidRDefault="007157A6" w:rsidP="007157A6">
            <w:pPr>
              <w:rPr>
                <w:lang w:val="en-GB"/>
              </w:rPr>
            </w:pPr>
          </w:p>
        </w:tc>
        <w:tc>
          <w:tcPr>
            <w:tcW w:w="418" w:type="dxa"/>
          </w:tcPr>
          <w:p w14:paraId="3F936673" w14:textId="77777777" w:rsidR="007157A6" w:rsidRPr="007157A6" w:rsidRDefault="007157A6" w:rsidP="007157A6">
            <w:pPr>
              <w:rPr>
                <w:lang w:val="en-GB"/>
              </w:rPr>
            </w:pPr>
          </w:p>
        </w:tc>
        <w:tc>
          <w:tcPr>
            <w:tcW w:w="418" w:type="dxa"/>
          </w:tcPr>
          <w:p w14:paraId="14CE1F80" w14:textId="77777777" w:rsidR="007157A6" w:rsidRPr="007157A6" w:rsidRDefault="007157A6" w:rsidP="007157A6">
            <w:pPr>
              <w:rPr>
                <w:lang w:val="en-GB"/>
              </w:rPr>
            </w:pPr>
          </w:p>
        </w:tc>
        <w:tc>
          <w:tcPr>
            <w:tcW w:w="418" w:type="dxa"/>
          </w:tcPr>
          <w:p w14:paraId="429B1D2F" w14:textId="77777777" w:rsidR="007157A6" w:rsidRPr="007157A6" w:rsidRDefault="007157A6" w:rsidP="007157A6">
            <w:pPr>
              <w:rPr>
                <w:lang w:val="en-GB"/>
              </w:rPr>
            </w:pPr>
          </w:p>
        </w:tc>
        <w:tc>
          <w:tcPr>
            <w:tcW w:w="419" w:type="dxa"/>
          </w:tcPr>
          <w:p w14:paraId="53BB69F1" w14:textId="77777777" w:rsidR="007157A6" w:rsidRPr="007157A6" w:rsidRDefault="007157A6" w:rsidP="007157A6">
            <w:pPr>
              <w:rPr>
                <w:lang w:val="en-GB"/>
              </w:rPr>
            </w:pPr>
          </w:p>
        </w:tc>
      </w:tr>
      <w:tr w:rsidR="007157A6" w:rsidRPr="007157A6" w14:paraId="2FF29AE3" w14:textId="77777777" w:rsidTr="00C850ED">
        <w:trPr>
          <w:trHeight w:val="537"/>
        </w:trPr>
        <w:tc>
          <w:tcPr>
            <w:tcW w:w="8642" w:type="dxa"/>
            <w:vMerge/>
          </w:tcPr>
          <w:p w14:paraId="3325AF65" w14:textId="77777777" w:rsidR="007157A6" w:rsidRPr="007157A6" w:rsidRDefault="007157A6" w:rsidP="007157A6">
            <w:pPr>
              <w:rPr>
                <w:lang w:val="en-GB"/>
              </w:rPr>
            </w:pPr>
          </w:p>
        </w:tc>
        <w:tc>
          <w:tcPr>
            <w:tcW w:w="3544" w:type="dxa"/>
          </w:tcPr>
          <w:p w14:paraId="47C6966C" w14:textId="77777777" w:rsidR="007157A6" w:rsidRPr="007157A6" w:rsidRDefault="007157A6" w:rsidP="007157A6">
            <w:pPr>
              <w:rPr>
                <w:lang w:val="en-GB"/>
              </w:rPr>
            </w:pPr>
            <w:r w:rsidRPr="007157A6">
              <w:rPr>
                <w:lang w:val="en-GB"/>
              </w:rPr>
              <w:t>Level of ambition</w:t>
            </w:r>
          </w:p>
        </w:tc>
        <w:tc>
          <w:tcPr>
            <w:tcW w:w="418" w:type="dxa"/>
          </w:tcPr>
          <w:p w14:paraId="28859A2F" w14:textId="77777777" w:rsidR="007157A6" w:rsidRPr="007157A6" w:rsidRDefault="007157A6" w:rsidP="007157A6">
            <w:pPr>
              <w:rPr>
                <w:lang w:val="en-GB"/>
              </w:rPr>
            </w:pPr>
          </w:p>
        </w:tc>
        <w:tc>
          <w:tcPr>
            <w:tcW w:w="418" w:type="dxa"/>
          </w:tcPr>
          <w:p w14:paraId="2878B499" w14:textId="77777777" w:rsidR="007157A6" w:rsidRPr="007157A6" w:rsidRDefault="007157A6" w:rsidP="007157A6">
            <w:pPr>
              <w:rPr>
                <w:lang w:val="en-GB"/>
              </w:rPr>
            </w:pPr>
          </w:p>
        </w:tc>
        <w:tc>
          <w:tcPr>
            <w:tcW w:w="418" w:type="dxa"/>
          </w:tcPr>
          <w:p w14:paraId="39B51BE9" w14:textId="77777777" w:rsidR="007157A6" w:rsidRPr="007157A6" w:rsidRDefault="007157A6" w:rsidP="007157A6">
            <w:pPr>
              <w:rPr>
                <w:lang w:val="en-GB"/>
              </w:rPr>
            </w:pPr>
          </w:p>
        </w:tc>
        <w:tc>
          <w:tcPr>
            <w:tcW w:w="418" w:type="dxa"/>
          </w:tcPr>
          <w:p w14:paraId="73FC9AAC" w14:textId="77777777" w:rsidR="007157A6" w:rsidRPr="007157A6" w:rsidRDefault="007157A6" w:rsidP="007157A6">
            <w:pPr>
              <w:rPr>
                <w:lang w:val="en-GB"/>
              </w:rPr>
            </w:pPr>
          </w:p>
        </w:tc>
        <w:tc>
          <w:tcPr>
            <w:tcW w:w="419" w:type="dxa"/>
          </w:tcPr>
          <w:p w14:paraId="3CC6C14E" w14:textId="77777777" w:rsidR="007157A6" w:rsidRPr="007157A6" w:rsidRDefault="007157A6" w:rsidP="007157A6">
            <w:pPr>
              <w:rPr>
                <w:lang w:val="en-GB"/>
              </w:rPr>
            </w:pPr>
          </w:p>
        </w:tc>
      </w:tr>
      <w:tr w:rsidR="007157A6" w:rsidRPr="007157A6" w14:paraId="48D5A8E2" w14:textId="77777777" w:rsidTr="00C850ED">
        <w:trPr>
          <w:trHeight w:val="537"/>
        </w:trPr>
        <w:tc>
          <w:tcPr>
            <w:tcW w:w="8642" w:type="dxa"/>
            <w:vMerge/>
          </w:tcPr>
          <w:p w14:paraId="092CD03C" w14:textId="77777777" w:rsidR="007157A6" w:rsidRPr="007157A6" w:rsidRDefault="007157A6" w:rsidP="007157A6">
            <w:pPr>
              <w:rPr>
                <w:lang w:val="en-GB"/>
              </w:rPr>
            </w:pPr>
          </w:p>
        </w:tc>
        <w:tc>
          <w:tcPr>
            <w:tcW w:w="3544" w:type="dxa"/>
          </w:tcPr>
          <w:p w14:paraId="173D3224" w14:textId="77777777" w:rsidR="007157A6" w:rsidRPr="007157A6" w:rsidRDefault="007157A6" w:rsidP="007157A6">
            <w:pPr>
              <w:rPr>
                <w:lang w:val="en-GB"/>
              </w:rPr>
            </w:pPr>
            <w:r w:rsidRPr="007157A6">
              <w:rPr>
                <w:lang w:val="en-GB"/>
              </w:rPr>
              <w:t>Practicability</w:t>
            </w:r>
          </w:p>
        </w:tc>
        <w:tc>
          <w:tcPr>
            <w:tcW w:w="418" w:type="dxa"/>
          </w:tcPr>
          <w:p w14:paraId="21B9463A" w14:textId="77777777" w:rsidR="007157A6" w:rsidRPr="007157A6" w:rsidRDefault="007157A6" w:rsidP="007157A6">
            <w:pPr>
              <w:rPr>
                <w:lang w:val="en-GB"/>
              </w:rPr>
            </w:pPr>
          </w:p>
        </w:tc>
        <w:tc>
          <w:tcPr>
            <w:tcW w:w="418" w:type="dxa"/>
          </w:tcPr>
          <w:p w14:paraId="5BC7ECEB" w14:textId="77777777" w:rsidR="007157A6" w:rsidRPr="007157A6" w:rsidRDefault="007157A6" w:rsidP="007157A6">
            <w:pPr>
              <w:rPr>
                <w:lang w:val="en-GB"/>
              </w:rPr>
            </w:pPr>
          </w:p>
        </w:tc>
        <w:tc>
          <w:tcPr>
            <w:tcW w:w="418" w:type="dxa"/>
          </w:tcPr>
          <w:p w14:paraId="1FD8E903" w14:textId="77777777" w:rsidR="007157A6" w:rsidRPr="007157A6" w:rsidRDefault="007157A6" w:rsidP="007157A6">
            <w:pPr>
              <w:rPr>
                <w:lang w:val="en-GB"/>
              </w:rPr>
            </w:pPr>
          </w:p>
        </w:tc>
        <w:tc>
          <w:tcPr>
            <w:tcW w:w="418" w:type="dxa"/>
          </w:tcPr>
          <w:p w14:paraId="5F6FD24F" w14:textId="77777777" w:rsidR="007157A6" w:rsidRPr="007157A6" w:rsidRDefault="007157A6" w:rsidP="007157A6">
            <w:pPr>
              <w:rPr>
                <w:lang w:val="en-GB"/>
              </w:rPr>
            </w:pPr>
          </w:p>
        </w:tc>
        <w:tc>
          <w:tcPr>
            <w:tcW w:w="419" w:type="dxa"/>
          </w:tcPr>
          <w:p w14:paraId="5FE3FFB5" w14:textId="77777777" w:rsidR="007157A6" w:rsidRPr="007157A6" w:rsidRDefault="007157A6" w:rsidP="007157A6">
            <w:pPr>
              <w:rPr>
                <w:lang w:val="en-GB"/>
              </w:rPr>
            </w:pPr>
          </w:p>
        </w:tc>
      </w:tr>
      <w:tr w:rsidR="007157A6" w:rsidRPr="007157A6" w14:paraId="702A0710" w14:textId="77777777" w:rsidTr="00C850ED">
        <w:trPr>
          <w:trHeight w:val="537"/>
        </w:trPr>
        <w:tc>
          <w:tcPr>
            <w:tcW w:w="8642" w:type="dxa"/>
            <w:vMerge/>
          </w:tcPr>
          <w:p w14:paraId="47BCAFAE" w14:textId="77777777" w:rsidR="007157A6" w:rsidRPr="007157A6" w:rsidRDefault="007157A6" w:rsidP="007157A6">
            <w:pPr>
              <w:rPr>
                <w:lang w:val="en-GB"/>
              </w:rPr>
            </w:pPr>
          </w:p>
        </w:tc>
        <w:tc>
          <w:tcPr>
            <w:tcW w:w="3544" w:type="dxa"/>
          </w:tcPr>
          <w:p w14:paraId="2CAC8E4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2DB6BD2" w14:textId="77777777" w:rsidR="007157A6" w:rsidRPr="007157A6" w:rsidRDefault="007157A6" w:rsidP="007157A6">
            <w:pPr>
              <w:rPr>
                <w:lang w:val="en-GB"/>
              </w:rPr>
            </w:pPr>
          </w:p>
        </w:tc>
        <w:tc>
          <w:tcPr>
            <w:tcW w:w="418" w:type="dxa"/>
          </w:tcPr>
          <w:p w14:paraId="66C4474E" w14:textId="77777777" w:rsidR="007157A6" w:rsidRPr="007157A6" w:rsidRDefault="007157A6" w:rsidP="007157A6">
            <w:pPr>
              <w:rPr>
                <w:lang w:val="en-GB"/>
              </w:rPr>
            </w:pPr>
          </w:p>
        </w:tc>
        <w:tc>
          <w:tcPr>
            <w:tcW w:w="418" w:type="dxa"/>
          </w:tcPr>
          <w:p w14:paraId="12F06A75" w14:textId="77777777" w:rsidR="007157A6" w:rsidRPr="007157A6" w:rsidRDefault="007157A6" w:rsidP="007157A6">
            <w:pPr>
              <w:rPr>
                <w:lang w:val="en-GB"/>
              </w:rPr>
            </w:pPr>
          </w:p>
        </w:tc>
        <w:tc>
          <w:tcPr>
            <w:tcW w:w="418" w:type="dxa"/>
          </w:tcPr>
          <w:p w14:paraId="2C30CC4B" w14:textId="77777777" w:rsidR="007157A6" w:rsidRPr="007157A6" w:rsidRDefault="007157A6" w:rsidP="007157A6">
            <w:pPr>
              <w:rPr>
                <w:lang w:val="en-GB"/>
              </w:rPr>
            </w:pPr>
          </w:p>
        </w:tc>
        <w:tc>
          <w:tcPr>
            <w:tcW w:w="419" w:type="dxa"/>
          </w:tcPr>
          <w:p w14:paraId="671A1F27" w14:textId="77777777" w:rsidR="007157A6" w:rsidRPr="007157A6" w:rsidRDefault="007157A6" w:rsidP="007157A6">
            <w:pPr>
              <w:rPr>
                <w:lang w:val="en-GB"/>
              </w:rPr>
            </w:pPr>
          </w:p>
        </w:tc>
      </w:tr>
    </w:tbl>
    <w:p w14:paraId="175DE03C" w14:textId="77777777" w:rsidR="007157A6" w:rsidRPr="007157A6" w:rsidRDefault="007157A6" w:rsidP="007157A6">
      <w:pPr>
        <w:spacing w:after="0"/>
        <w:rPr>
          <w:lang w:val="en-GB"/>
        </w:rPr>
      </w:pPr>
    </w:p>
    <w:p w14:paraId="0770152C" w14:textId="77777777" w:rsidR="007157A6" w:rsidRPr="007157A6" w:rsidRDefault="007157A6" w:rsidP="007157A6">
      <w:pPr>
        <w:numPr>
          <w:ilvl w:val="0"/>
          <w:numId w:val="4"/>
        </w:numPr>
        <w:contextualSpacing/>
        <w:rPr>
          <w:lang w:val="en-GB"/>
        </w:rPr>
      </w:pPr>
      <w:r w:rsidRPr="007157A6">
        <w:rPr>
          <w:lang w:val="en-GB"/>
        </w:rPr>
        <w:t>Do you support the mandatory application of the TCFD recommendations? Are further disclosure requirements beyond TCFD (=climate) necessary?</w:t>
      </w:r>
    </w:p>
    <w:p w14:paraId="71E8F560" w14:textId="77777777" w:rsidR="007157A6" w:rsidRPr="007157A6" w:rsidRDefault="007157A6" w:rsidP="007157A6">
      <w:pPr>
        <w:ind w:left="360"/>
        <w:rPr>
          <w:lang w:val="en-GB"/>
        </w:rPr>
      </w:pPr>
      <w:r w:rsidRPr="007157A6">
        <w:rPr>
          <w:noProof/>
          <w:lang w:eastAsia="de-DE"/>
        </w:rPr>
        <mc:AlternateContent>
          <mc:Choice Requires="wps">
            <w:drawing>
              <wp:anchor distT="0" distB="0" distL="114300" distR="114300" simplePos="0" relativeHeight="251661312" behindDoc="0" locked="0" layoutInCell="1" allowOverlap="1" wp14:anchorId="5C4031FD" wp14:editId="25CAB098">
                <wp:simplePos x="0" y="0"/>
                <wp:positionH relativeFrom="column">
                  <wp:posOffset>0</wp:posOffset>
                </wp:positionH>
                <wp:positionV relativeFrom="paragraph">
                  <wp:posOffset>47625</wp:posOffset>
                </wp:positionV>
                <wp:extent cx="4460240" cy="254000"/>
                <wp:effectExtent l="0" t="0" r="16510" b="1270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1F155304"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153B" id="_x0000_s1032" type="#_x0000_t202" style="position:absolute;left:0;text-align:left;margin-left:0;margin-top:3.75pt;width:351.2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111A4D27" w14:textId="77777777" w:rsidR="007157A6" w:rsidRPr="007157A6" w:rsidRDefault="007157A6" w:rsidP="007157A6">
      <w:pPr>
        <w:spacing w:after="120"/>
        <w:rPr>
          <w:b/>
          <w:lang w:val="en-GB"/>
        </w:rPr>
      </w:pPr>
    </w:p>
    <w:p w14:paraId="390E8C96" w14:textId="77777777" w:rsidR="007157A6" w:rsidRPr="007157A6" w:rsidRDefault="007157A6" w:rsidP="00C850ED">
      <w:pPr>
        <w:pBdr>
          <w:bottom w:val="single" w:sz="4" w:space="1" w:color="auto"/>
        </w:pBdr>
        <w:rPr>
          <w:b/>
          <w:sz w:val="28"/>
          <w:lang w:val="en-GB"/>
        </w:rPr>
      </w:pPr>
      <w:r w:rsidRPr="007157A6">
        <w:rPr>
          <w:b/>
          <w:sz w:val="28"/>
          <w:lang w:val="en-GB"/>
        </w:rPr>
        <w:t>P</w:t>
      </w:r>
      <w:r w:rsidR="00C850ED">
        <w:rPr>
          <w:b/>
          <w:sz w:val="28"/>
          <w:lang w:val="en-GB"/>
        </w:rPr>
        <w:t>roduct-related Measures</w:t>
      </w:r>
    </w:p>
    <w:p w14:paraId="7E3431E7"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68E57BCA" w14:textId="77777777" w:rsidTr="00C850ED">
        <w:tc>
          <w:tcPr>
            <w:tcW w:w="8642" w:type="dxa"/>
            <w:shd w:val="clear" w:color="auto" w:fill="D9D9D9" w:themeFill="background1" w:themeFillShade="D9"/>
          </w:tcPr>
          <w:p w14:paraId="336B5BD6"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38AEF064"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2A490964"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4EFA0BBB"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69A0ECEF"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5DAE6B28"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0751D1AD" w14:textId="77777777" w:rsidR="007157A6" w:rsidRPr="007157A6" w:rsidRDefault="007157A6" w:rsidP="007157A6">
            <w:pPr>
              <w:rPr>
                <w:b/>
                <w:lang w:val="en-GB"/>
              </w:rPr>
            </w:pPr>
            <w:r w:rsidRPr="007157A6">
              <w:rPr>
                <w:b/>
                <w:lang w:val="en-GB"/>
              </w:rPr>
              <w:t>1</w:t>
            </w:r>
          </w:p>
        </w:tc>
      </w:tr>
      <w:tr w:rsidR="007157A6" w:rsidRPr="007157A6" w14:paraId="0CD95B23" w14:textId="77777777" w:rsidTr="00C850ED">
        <w:trPr>
          <w:trHeight w:val="596"/>
        </w:trPr>
        <w:tc>
          <w:tcPr>
            <w:tcW w:w="8642" w:type="dxa"/>
            <w:vMerge w:val="restart"/>
          </w:tcPr>
          <w:p w14:paraId="46CAD916" w14:textId="77777777" w:rsidR="007157A6" w:rsidRPr="007157A6" w:rsidRDefault="007157A6" w:rsidP="007157A6">
            <w:pPr>
              <w:rPr>
                <w:lang w:val="en-GB"/>
              </w:rPr>
            </w:pPr>
            <w:r w:rsidRPr="007157A6">
              <w:rPr>
                <w:lang w:val="en-GB"/>
              </w:rPr>
              <w:t xml:space="preserve">Create a binding, transparent classification system for all financial products which enables different gradations and is suitable for incremental product adjustments towards greater sustainability. The classification should visualise the contribution of each and every financial product to the transformation. Based on the binding product classification system, voluntary private labelling systems for specific sustainability approaches continue to make an important contribution to both the promotion and quality assurance of sustainable investments by </w:t>
            </w:r>
            <w:r w:rsidRPr="007157A6">
              <w:rPr>
                <w:lang w:val="en-GB"/>
              </w:rPr>
              <w:lastRenderedPageBreak/>
              <w:t>fostering a dynamic market through more ambitious approaches and innovation and by providing guideposts to private and institutional investors alike.</w:t>
            </w:r>
          </w:p>
        </w:tc>
        <w:tc>
          <w:tcPr>
            <w:tcW w:w="3544" w:type="dxa"/>
          </w:tcPr>
          <w:p w14:paraId="6EF6FFA0"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14B986C7" w14:textId="77777777" w:rsidR="007157A6" w:rsidRPr="007157A6" w:rsidRDefault="007157A6" w:rsidP="007157A6">
            <w:pPr>
              <w:rPr>
                <w:lang w:val="en-GB"/>
              </w:rPr>
            </w:pPr>
          </w:p>
        </w:tc>
        <w:tc>
          <w:tcPr>
            <w:tcW w:w="418" w:type="dxa"/>
          </w:tcPr>
          <w:p w14:paraId="2C743844" w14:textId="77777777" w:rsidR="007157A6" w:rsidRPr="007157A6" w:rsidRDefault="007157A6" w:rsidP="007157A6">
            <w:pPr>
              <w:rPr>
                <w:lang w:val="en-GB"/>
              </w:rPr>
            </w:pPr>
          </w:p>
        </w:tc>
        <w:tc>
          <w:tcPr>
            <w:tcW w:w="418" w:type="dxa"/>
          </w:tcPr>
          <w:p w14:paraId="019F567C" w14:textId="77777777" w:rsidR="007157A6" w:rsidRPr="007157A6" w:rsidRDefault="007157A6" w:rsidP="007157A6">
            <w:pPr>
              <w:rPr>
                <w:lang w:val="en-GB"/>
              </w:rPr>
            </w:pPr>
          </w:p>
        </w:tc>
        <w:tc>
          <w:tcPr>
            <w:tcW w:w="418" w:type="dxa"/>
          </w:tcPr>
          <w:p w14:paraId="58C574FD" w14:textId="77777777" w:rsidR="007157A6" w:rsidRPr="007157A6" w:rsidRDefault="007157A6" w:rsidP="007157A6">
            <w:pPr>
              <w:rPr>
                <w:lang w:val="en-GB"/>
              </w:rPr>
            </w:pPr>
          </w:p>
        </w:tc>
        <w:tc>
          <w:tcPr>
            <w:tcW w:w="419" w:type="dxa"/>
          </w:tcPr>
          <w:p w14:paraId="2A25F29E" w14:textId="77777777" w:rsidR="007157A6" w:rsidRPr="007157A6" w:rsidRDefault="007157A6" w:rsidP="007157A6">
            <w:pPr>
              <w:rPr>
                <w:lang w:val="en-GB"/>
              </w:rPr>
            </w:pPr>
          </w:p>
        </w:tc>
      </w:tr>
      <w:tr w:rsidR="007157A6" w:rsidRPr="007157A6" w14:paraId="16C7EF31" w14:textId="77777777" w:rsidTr="00C850ED">
        <w:trPr>
          <w:trHeight w:val="597"/>
        </w:trPr>
        <w:tc>
          <w:tcPr>
            <w:tcW w:w="8642" w:type="dxa"/>
            <w:vMerge/>
          </w:tcPr>
          <w:p w14:paraId="098A08FD" w14:textId="77777777" w:rsidR="007157A6" w:rsidRPr="007157A6" w:rsidRDefault="007157A6" w:rsidP="007157A6">
            <w:pPr>
              <w:rPr>
                <w:lang w:val="en-GB"/>
              </w:rPr>
            </w:pPr>
          </w:p>
        </w:tc>
        <w:tc>
          <w:tcPr>
            <w:tcW w:w="3544" w:type="dxa"/>
          </w:tcPr>
          <w:p w14:paraId="0F877907" w14:textId="77777777" w:rsidR="007157A6" w:rsidRPr="007157A6" w:rsidRDefault="007157A6" w:rsidP="007157A6">
            <w:pPr>
              <w:rPr>
                <w:lang w:val="en-GB"/>
              </w:rPr>
            </w:pPr>
            <w:r w:rsidRPr="007157A6">
              <w:rPr>
                <w:lang w:val="en-GB"/>
              </w:rPr>
              <w:t>Level of ambition</w:t>
            </w:r>
          </w:p>
        </w:tc>
        <w:tc>
          <w:tcPr>
            <w:tcW w:w="418" w:type="dxa"/>
          </w:tcPr>
          <w:p w14:paraId="5B3AADF9" w14:textId="77777777" w:rsidR="007157A6" w:rsidRPr="007157A6" w:rsidRDefault="007157A6" w:rsidP="007157A6">
            <w:pPr>
              <w:rPr>
                <w:lang w:val="en-GB"/>
              </w:rPr>
            </w:pPr>
          </w:p>
        </w:tc>
        <w:tc>
          <w:tcPr>
            <w:tcW w:w="418" w:type="dxa"/>
          </w:tcPr>
          <w:p w14:paraId="75311EA4" w14:textId="77777777" w:rsidR="007157A6" w:rsidRPr="007157A6" w:rsidRDefault="007157A6" w:rsidP="007157A6">
            <w:pPr>
              <w:rPr>
                <w:lang w:val="en-GB"/>
              </w:rPr>
            </w:pPr>
          </w:p>
        </w:tc>
        <w:tc>
          <w:tcPr>
            <w:tcW w:w="418" w:type="dxa"/>
          </w:tcPr>
          <w:p w14:paraId="78717D13" w14:textId="77777777" w:rsidR="007157A6" w:rsidRPr="007157A6" w:rsidRDefault="007157A6" w:rsidP="007157A6">
            <w:pPr>
              <w:rPr>
                <w:lang w:val="en-GB"/>
              </w:rPr>
            </w:pPr>
          </w:p>
        </w:tc>
        <w:tc>
          <w:tcPr>
            <w:tcW w:w="418" w:type="dxa"/>
          </w:tcPr>
          <w:p w14:paraId="34D839B7" w14:textId="77777777" w:rsidR="007157A6" w:rsidRPr="007157A6" w:rsidRDefault="007157A6" w:rsidP="007157A6">
            <w:pPr>
              <w:rPr>
                <w:lang w:val="en-GB"/>
              </w:rPr>
            </w:pPr>
          </w:p>
        </w:tc>
        <w:tc>
          <w:tcPr>
            <w:tcW w:w="419" w:type="dxa"/>
          </w:tcPr>
          <w:p w14:paraId="662AE60A" w14:textId="77777777" w:rsidR="007157A6" w:rsidRPr="007157A6" w:rsidRDefault="007157A6" w:rsidP="007157A6">
            <w:pPr>
              <w:rPr>
                <w:lang w:val="en-GB"/>
              </w:rPr>
            </w:pPr>
          </w:p>
        </w:tc>
      </w:tr>
      <w:tr w:rsidR="007157A6" w:rsidRPr="007157A6" w14:paraId="5A82E4B2" w14:textId="77777777" w:rsidTr="00C850ED">
        <w:trPr>
          <w:trHeight w:val="597"/>
        </w:trPr>
        <w:tc>
          <w:tcPr>
            <w:tcW w:w="8642" w:type="dxa"/>
            <w:vMerge/>
          </w:tcPr>
          <w:p w14:paraId="0F2FF150" w14:textId="77777777" w:rsidR="007157A6" w:rsidRPr="007157A6" w:rsidRDefault="007157A6" w:rsidP="007157A6">
            <w:pPr>
              <w:rPr>
                <w:lang w:val="en-GB"/>
              </w:rPr>
            </w:pPr>
          </w:p>
        </w:tc>
        <w:tc>
          <w:tcPr>
            <w:tcW w:w="3544" w:type="dxa"/>
          </w:tcPr>
          <w:p w14:paraId="3D493A9E" w14:textId="77777777" w:rsidR="007157A6" w:rsidRPr="007157A6" w:rsidRDefault="007157A6" w:rsidP="007157A6">
            <w:pPr>
              <w:rPr>
                <w:lang w:val="en-GB"/>
              </w:rPr>
            </w:pPr>
            <w:r w:rsidRPr="007157A6">
              <w:rPr>
                <w:lang w:val="en-GB"/>
              </w:rPr>
              <w:t>Practicability</w:t>
            </w:r>
          </w:p>
        </w:tc>
        <w:tc>
          <w:tcPr>
            <w:tcW w:w="418" w:type="dxa"/>
          </w:tcPr>
          <w:p w14:paraId="3D5A8DD9" w14:textId="77777777" w:rsidR="007157A6" w:rsidRPr="007157A6" w:rsidRDefault="007157A6" w:rsidP="007157A6">
            <w:pPr>
              <w:rPr>
                <w:lang w:val="en-GB"/>
              </w:rPr>
            </w:pPr>
          </w:p>
        </w:tc>
        <w:tc>
          <w:tcPr>
            <w:tcW w:w="418" w:type="dxa"/>
          </w:tcPr>
          <w:p w14:paraId="56009E7D" w14:textId="77777777" w:rsidR="007157A6" w:rsidRPr="007157A6" w:rsidRDefault="007157A6" w:rsidP="007157A6">
            <w:pPr>
              <w:rPr>
                <w:lang w:val="en-GB"/>
              </w:rPr>
            </w:pPr>
          </w:p>
        </w:tc>
        <w:tc>
          <w:tcPr>
            <w:tcW w:w="418" w:type="dxa"/>
          </w:tcPr>
          <w:p w14:paraId="70CD0763" w14:textId="77777777" w:rsidR="007157A6" w:rsidRPr="007157A6" w:rsidRDefault="007157A6" w:rsidP="007157A6">
            <w:pPr>
              <w:rPr>
                <w:lang w:val="en-GB"/>
              </w:rPr>
            </w:pPr>
          </w:p>
        </w:tc>
        <w:tc>
          <w:tcPr>
            <w:tcW w:w="418" w:type="dxa"/>
          </w:tcPr>
          <w:p w14:paraId="04A142FA" w14:textId="77777777" w:rsidR="007157A6" w:rsidRPr="007157A6" w:rsidRDefault="007157A6" w:rsidP="007157A6">
            <w:pPr>
              <w:rPr>
                <w:lang w:val="en-GB"/>
              </w:rPr>
            </w:pPr>
          </w:p>
        </w:tc>
        <w:tc>
          <w:tcPr>
            <w:tcW w:w="419" w:type="dxa"/>
          </w:tcPr>
          <w:p w14:paraId="39931469" w14:textId="77777777" w:rsidR="007157A6" w:rsidRPr="007157A6" w:rsidRDefault="007157A6" w:rsidP="007157A6">
            <w:pPr>
              <w:rPr>
                <w:lang w:val="en-GB"/>
              </w:rPr>
            </w:pPr>
          </w:p>
        </w:tc>
      </w:tr>
      <w:tr w:rsidR="007157A6" w:rsidRPr="007157A6" w14:paraId="2AC2D900" w14:textId="77777777" w:rsidTr="00C850ED">
        <w:trPr>
          <w:trHeight w:val="597"/>
        </w:trPr>
        <w:tc>
          <w:tcPr>
            <w:tcW w:w="8642" w:type="dxa"/>
            <w:vMerge/>
          </w:tcPr>
          <w:p w14:paraId="6A8C77B9" w14:textId="77777777" w:rsidR="007157A6" w:rsidRPr="007157A6" w:rsidRDefault="007157A6" w:rsidP="007157A6">
            <w:pPr>
              <w:rPr>
                <w:lang w:val="en-GB"/>
              </w:rPr>
            </w:pPr>
          </w:p>
        </w:tc>
        <w:tc>
          <w:tcPr>
            <w:tcW w:w="3544" w:type="dxa"/>
          </w:tcPr>
          <w:p w14:paraId="29D9E61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75D2A85" w14:textId="77777777" w:rsidR="007157A6" w:rsidRPr="007157A6" w:rsidRDefault="007157A6" w:rsidP="007157A6">
            <w:pPr>
              <w:rPr>
                <w:lang w:val="en-GB"/>
              </w:rPr>
            </w:pPr>
          </w:p>
        </w:tc>
        <w:tc>
          <w:tcPr>
            <w:tcW w:w="418" w:type="dxa"/>
          </w:tcPr>
          <w:p w14:paraId="3C34F733" w14:textId="77777777" w:rsidR="007157A6" w:rsidRPr="007157A6" w:rsidRDefault="007157A6" w:rsidP="007157A6">
            <w:pPr>
              <w:rPr>
                <w:lang w:val="en-GB"/>
              </w:rPr>
            </w:pPr>
          </w:p>
        </w:tc>
        <w:tc>
          <w:tcPr>
            <w:tcW w:w="418" w:type="dxa"/>
          </w:tcPr>
          <w:p w14:paraId="56FC32EC" w14:textId="77777777" w:rsidR="007157A6" w:rsidRPr="007157A6" w:rsidRDefault="007157A6" w:rsidP="007157A6">
            <w:pPr>
              <w:rPr>
                <w:lang w:val="en-GB"/>
              </w:rPr>
            </w:pPr>
          </w:p>
        </w:tc>
        <w:tc>
          <w:tcPr>
            <w:tcW w:w="418" w:type="dxa"/>
          </w:tcPr>
          <w:p w14:paraId="243A67F2" w14:textId="77777777" w:rsidR="007157A6" w:rsidRPr="007157A6" w:rsidRDefault="007157A6" w:rsidP="007157A6">
            <w:pPr>
              <w:rPr>
                <w:lang w:val="en-GB"/>
              </w:rPr>
            </w:pPr>
          </w:p>
        </w:tc>
        <w:tc>
          <w:tcPr>
            <w:tcW w:w="419" w:type="dxa"/>
          </w:tcPr>
          <w:p w14:paraId="6FB26B14" w14:textId="77777777" w:rsidR="007157A6" w:rsidRPr="007157A6" w:rsidRDefault="007157A6" w:rsidP="007157A6">
            <w:pPr>
              <w:rPr>
                <w:lang w:val="en-GB"/>
              </w:rPr>
            </w:pPr>
          </w:p>
        </w:tc>
      </w:tr>
      <w:tr w:rsidR="007157A6" w:rsidRPr="007157A6" w14:paraId="41A7C07F" w14:textId="77777777" w:rsidTr="00C850ED">
        <w:tc>
          <w:tcPr>
            <w:tcW w:w="8642" w:type="dxa"/>
            <w:shd w:val="clear" w:color="auto" w:fill="D9D9D9" w:themeFill="background1" w:themeFillShade="D9"/>
          </w:tcPr>
          <w:p w14:paraId="100B9CDC"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88D5ED1"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27B48EC"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5EA96D22"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24CCA4AB"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59D5FC8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144A62D" w14:textId="77777777" w:rsidR="007157A6" w:rsidRPr="007157A6" w:rsidRDefault="007157A6" w:rsidP="007157A6">
            <w:pPr>
              <w:rPr>
                <w:lang w:val="en-GB"/>
              </w:rPr>
            </w:pPr>
            <w:r w:rsidRPr="007157A6">
              <w:rPr>
                <w:b/>
                <w:lang w:val="en-GB"/>
              </w:rPr>
              <w:t>1</w:t>
            </w:r>
          </w:p>
        </w:tc>
      </w:tr>
      <w:tr w:rsidR="007157A6" w:rsidRPr="007157A6" w14:paraId="6A6A5C15" w14:textId="77777777" w:rsidTr="00C850ED">
        <w:tc>
          <w:tcPr>
            <w:tcW w:w="8642" w:type="dxa"/>
            <w:vMerge w:val="restart"/>
          </w:tcPr>
          <w:p w14:paraId="5B90B229" w14:textId="77777777" w:rsidR="007157A6" w:rsidRPr="007157A6" w:rsidRDefault="007157A6" w:rsidP="007157A6">
            <w:pPr>
              <w:rPr>
                <w:lang w:val="en-GB"/>
              </w:rPr>
            </w:pPr>
            <w:r w:rsidRPr="007157A6">
              <w:rPr>
                <w:lang w:val="en-GB"/>
              </w:rPr>
              <w:t>Expand the range of sustainability and/or transformation products by easing supervisory requirements related to the conversion of conventional products into sustainable and/or transformative products as well as to the licensing of such products.</w:t>
            </w:r>
          </w:p>
        </w:tc>
        <w:tc>
          <w:tcPr>
            <w:tcW w:w="3544" w:type="dxa"/>
          </w:tcPr>
          <w:p w14:paraId="590FB505" w14:textId="77777777" w:rsidR="007157A6" w:rsidRPr="007157A6" w:rsidRDefault="007157A6" w:rsidP="007157A6">
            <w:pPr>
              <w:rPr>
                <w:lang w:val="en-GB"/>
              </w:rPr>
            </w:pPr>
            <w:r w:rsidRPr="007157A6">
              <w:rPr>
                <w:lang w:val="en-GB"/>
              </w:rPr>
              <w:t>Will foster Sustainable Finance in Germany</w:t>
            </w:r>
          </w:p>
        </w:tc>
        <w:tc>
          <w:tcPr>
            <w:tcW w:w="418" w:type="dxa"/>
          </w:tcPr>
          <w:p w14:paraId="4AA070C2" w14:textId="77777777" w:rsidR="007157A6" w:rsidRPr="007157A6" w:rsidRDefault="007157A6" w:rsidP="007157A6">
            <w:pPr>
              <w:rPr>
                <w:lang w:val="en-GB"/>
              </w:rPr>
            </w:pPr>
          </w:p>
        </w:tc>
        <w:tc>
          <w:tcPr>
            <w:tcW w:w="418" w:type="dxa"/>
          </w:tcPr>
          <w:p w14:paraId="0812AA8E" w14:textId="77777777" w:rsidR="007157A6" w:rsidRPr="007157A6" w:rsidRDefault="007157A6" w:rsidP="007157A6">
            <w:pPr>
              <w:rPr>
                <w:lang w:val="en-GB"/>
              </w:rPr>
            </w:pPr>
          </w:p>
        </w:tc>
        <w:tc>
          <w:tcPr>
            <w:tcW w:w="418" w:type="dxa"/>
          </w:tcPr>
          <w:p w14:paraId="4F25C886" w14:textId="77777777" w:rsidR="007157A6" w:rsidRPr="007157A6" w:rsidRDefault="007157A6" w:rsidP="007157A6">
            <w:pPr>
              <w:rPr>
                <w:lang w:val="en-GB"/>
              </w:rPr>
            </w:pPr>
          </w:p>
        </w:tc>
        <w:tc>
          <w:tcPr>
            <w:tcW w:w="418" w:type="dxa"/>
          </w:tcPr>
          <w:p w14:paraId="778AACB2" w14:textId="77777777" w:rsidR="007157A6" w:rsidRPr="007157A6" w:rsidRDefault="007157A6" w:rsidP="007157A6">
            <w:pPr>
              <w:rPr>
                <w:lang w:val="en-GB"/>
              </w:rPr>
            </w:pPr>
          </w:p>
        </w:tc>
        <w:tc>
          <w:tcPr>
            <w:tcW w:w="419" w:type="dxa"/>
          </w:tcPr>
          <w:p w14:paraId="1E1017B6" w14:textId="77777777" w:rsidR="007157A6" w:rsidRPr="007157A6" w:rsidRDefault="007157A6" w:rsidP="007157A6">
            <w:pPr>
              <w:rPr>
                <w:lang w:val="en-GB"/>
              </w:rPr>
            </w:pPr>
          </w:p>
        </w:tc>
      </w:tr>
      <w:tr w:rsidR="007157A6" w:rsidRPr="007157A6" w14:paraId="43F8CF95" w14:textId="77777777" w:rsidTr="00C850ED">
        <w:tc>
          <w:tcPr>
            <w:tcW w:w="8642" w:type="dxa"/>
            <w:vMerge/>
          </w:tcPr>
          <w:p w14:paraId="0D5B8FF6" w14:textId="77777777" w:rsidR="007157A6" w:rsidRPr="007157A6" w:rsidRDefault="007157A6" w:rsidP="007157A6">
            <w:pPr>
              <w:rPr>
                <w:lang w:val="en-GB"/>
              </w:rPr>
            </w:pPr>
          </w:p>
        </w:tc>
        <w:tc>
          <w:tcPr>
            <w:tcW w:w="3544" w:type="dxa"/>
          </w:tcPr>
          <w:p w14:paraId="0CAE8D4A" w14:textId="77777777" w:rsidR="007157A6" w:rsidRPr="007157A6" w:rsidRDefault="007157A6" w:rsidP="007157A6">
            <w:pPr>
              <w:rPr>
                <w:lang w:val="en-GB"/>
              </w:rPr>
            </w:pPr>
            <w:r w:rsidRPr="007157A6">
              <w:rPr>
                <w:lang w:val="en-GB"/>
              </w:rPr>
              <w:t>Level of ambition</w:t>
            </w:r>
          </w:p>
        </w:tc>
        <w:tc>
          <w:tcPr>
            <w:tcW w:w="418" w:type="dxa"/>
          </w:tcPr>
          <w:p w14:paraId="1F6EF6D9" w14:textId="77777777" w:rsidR="007157A6" w:rsidRPr="007157A6" w:rsidRDefault="007157A6" w:rsidP="007157A6">
            <w:pPr>
              <w:rPr>
                <w:lang w:val="en-GB"/>
              </w:rPr>
            </w:pPr>
          </w:p>
        </w:tc>
        <w:tc>
          <w:tcPr>
            <w:tcW w:w="418" w:type="dxa"/>
          </w:tcPr>
          <w:p w14:paraId="7F00A7B0" w14:textId="77777777" w:rsidR="007157A6" w:rsidRPr="007157A6" w:rsidRDefault="007157A6" w:rsidP="007157A6">
            <w:pPr>
              <w:rPr>
                <w:lang w:val="en-GB"/>
              </w:rPr>
            </w:pPr>
          </w:p>
        </w:tc>
        <w:tc>
          <w:tcPr>
            <w:tcW w:w="418" w:type="dxa"/>
          </w:tcPr>
          <w:p w14:paraId="572E085E" w14:textId="77777777" w:rsidR="007157A6" w:rsidRPr="007157A6" w:rsidRDefault="007157A6" w:rsidP="007157A6">
            <w:pPr>
              <w:rPr>
                <w:lang w:val="en-GB"/>
              </w:rPr>
            </w:pPr>
          </w:p>
        </w:tc>
        <w:tc>
          <w:tcPr>
            <w:tcW w:w="418" w:type="dxa"/>
          </w:tcPr>
          <w:p w14:paraId="1C03DAB0" w14:textId="77777777" w:rsidR="007157A6" w:rsidRPr="007157A6" w:rsidRDefault="007157A6" w:rsidP="007157A6">
            <w:pPr>
              <w:rPr>
                <w:lang w:val="en-GB"/>
              </w:rPr>
            </w:pPr>
          </w:p>
        </w:tc>
        <w:tc>
          <w:tcPr>
            <w:tcW w:w="419" w:type="dxa"/>
          </w:tcPr>
          <w:p w14:paraId="5AE951ED" w14:textId="77777777" w:rsidR="007157A6" w:rsidRPr="007157A6" w:rsidRDefault="007157A6" w:rsidP="007157A6">
            <w:pPr>
              <w:rPr>
                <w:lang w:val="en-GB"/>
              </w:rPr>
            </w:pPr>
          </w:p>
        </w:tc>
      </w:tr>
      <w:tr w:rsidR="007157A6" w:rsidRPr="007157A6" w14:paraId="1CAC8CFB" w14:textId="77777777" w:rsidTr="00C850ED">
        <w:tc>
          <w:tcPr>
            <w:tcW w:w="8642" w:type="dxa"/>
            <w:vMerge/>
          </w:tcPr>
          <w:p w14:paraId="3B4062D7" w14:textId="77777777" w:rsidR="007157A6" w:rsidRPr="007157A6" w:rsidRDefault="007157A6" w:rsidP="007157A6">
            <w:pPr>
              <w:rPr>
                <w:lang w:val="en-GB"/>
              </w:rPr>
            </w:pPr>
          </w:p>
        </w:tc>
        <w:tc>
          <w:tcPr>
            <w:tcW w:w="3544" w:type="dxa"/>
          </w:tcPr>
          <w:p w14:paraId="301CB889" w14:textId="77777777" w:rsidR="007157A6" w:rsidRPr="007157A6" w:rsidRDefault="007157A6" w:rsidP="007157A6">
            <w:pPr>
              <w:rPr>
                <w:lang w:val="en-GB"/>
              </w:rPr>
            </w:pPr>
            <w:r w:rsidRPr="007157A6">
              <w:rPr>
                <w:lang w:val="en-GB"/>
              </w:rPr>
              <w:t>Practicability</w:t>
            </w:r>
          </w:p>
        </w:tc>
        <w:tc>
          <w:tcPr>
            <w:tcW w:w="418" w:type="dxa"/>
          </w:tcPr>
          <w:p w14:paraId="58E01EDC" w14:textId="77777777" w:rsidR="007157A6" w:rsidRPr="007157A6" w:rsidRDefault="007157A6" w:rsidP="007157A6">
            <w:pPr>
              <w:rPr>
                <w:lang w:val="en-GB"/>
              </w:rPr>
            </w:pPr>
          </w:p>
        </w:tc>
        <w:tc>
          <w:tcPr>
            <w:tcW w:w="418" w:type="dxa"/>
          </w:tcPr>
          <w:p w14:paraId="290CB584" w14:textId="77777777" w:rsidR="007157A6" w:rsidRPr="007157A6" w:rsidRDefault="007157A6" w:rsidP="007157A6">
            <w:pPr>
              <w:rPr>
                <w:lang w:val="en-GB"/>
              </w:rPr>
            </w:pPr>
          </w:p>
        </w:tc>
        <w:tc>
          <w:tcPr>
            <w:tcW w:w="418" w:type="dxa"/>
          </w:tcPr>
          <w:p w14:paraId="679C4964" w14:textId="77777777" w:rsidR="007157A6" w:rsidRPr="007157A6" w:rsidRDefault="007157A6" w:rsidP="007157A6">
            <w:pPr>
              <w:rPr>
                <w:lang w:val="en-GB"/>
              </w:rPr>
            </w:pPr>
          </w:p>
        </w:tc>
        <w:tc>
          <w:tcPr>
            <w:tcW w:w="418" w:type="dxa"/>
          </w:tcPr>
          <w:p w14:paraId="71B86342" w14:textId="77777777" w:rsidR="007157A6" w:rsidRPr="007157A6" w:rsidRDefault="007157A6" w:rsidP="007157A6">
            <w:pPr>
              <w:rPr>
                <w:lang w:val="en-GB"/>
              </w:rPr>
            </w:pPr>
          </w:p>
        </w:tc>
        <w:tc>
          <w:tcPr>
            <w:tcW w:w="419" w:type="dxa"/>
          </w:tcPr>
          <w:p w14:paraId="49C4C453" w14:textId="77777777" w:rsidR="007157A6" w:rsidRPr="007157A6" w:rsidRDefault="007157A6" w:rsidP="007157A6">
            <w:pPr>
              <w:rPr>
                <w:lang w:val="en-GB"/>
              </w:rPr>
            </w:pPr>
          </w:p>
        </w:tc>
      </w:tr>
      <w:tr w:rsidR="007157A6" w:rsidRPr="007157A6" w14:paraId="1C0228F0" w14:textId="77777777" w:rsidTr="00C850ED">
        <w:tc>
          <w:tcPr>
            <w:tcW w:w="8642" w:type="dxa"/>
            <w:vMerge/>
          </w:tcPr>
          <w:p w14:paraId="22A93115" w14:textId="77777777" w:rsidR="007157A6" w:rsidRPr="007157A6" w:rsidRDefault="007157A6" w:rsidP="007157A6">
            <w:pPr>
              <w:rPr>
                <w:lang w:val="en-GB"/>
              </w:rPr>
            </w:pPr>
          </w:p>
        </w:tc>
        <w:tc>
          <w:tcPr>
            <w:tcW w:w="3544" w:type="dxa"/>
          </w:tcPr>
          <w:p w14:paraId="4FCCB96F"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BF2CA1C" w14:textId="77777777" w:rsidR="007157A6" w:rsidRPr="007157A6" w:rsidRDefault="007157A6" w:rsidP="007157A6">
            <w:pPr>
              <w:rPr>
                <w:lang w:val="en-GB"/>
              </w:rPr>
            </w:pPr>
          </w:p>
        </w:tc>
        <w:tc>
          <w:tcPr>
            <w:tcW w:w="418" w:type="dxa"/>
          </w:tcPr>
          <w:p w14:paraId="2C409EDE" w14:textId="77777777" w:rsidR="007157A6" w:rsidRPr="007157A6" w:rsidRDefault="007157A6" w:rsidP="007157A6">
            <w:pPr>
              <w:rPr>
                <w:lang w:val="en-GB"/>
              </w:rPr>
            </w:pPr>
          </w:p>
        </w:tc>
        <w:tc>
          <w:tcPr>
            <w:tcW w:w="418" w:type="dxa"/>
          </w:tcPr>
          <w:p w14:paraId="461B6684" w14:textId="77777777" w:rsidR="007157A6" w:rsidRPr="007157A6" w:rsidRDefault="007157A6" w:rsidP="007157A6">
            <w:pPr>
              <w:rPr>
                <w:lang w:val="en-GB"/>
              </w:rPr>
            </w:pPr>
          </w:p>
        </w:tc>
        <w:tc>
          <w:tcPr>
            <w:tcW w:w="418" w:type="dxa"/>
          </w:tcPr>
          <w:p w14:paraId="2438B4D0" w14:textId="77777777" w:rsidR="007157A6" w:rsidRPr="007157A6" w:rsidRDefault="007157A6" w:rsidP="007157A6">
            <w:pPr>
              <w:rPr>
                <w:lang w:val="en-GB"/>
              </w:rPr>
            </w:pPr>
          </w:p>
        </w:tc>
        <w:tc>
          <w:tcPr>
            <w:tcW w:w="419" w:type="dxa"/>
          </w:tcPr>
          <w:p w14:paraId="2E7D67C1" w14:textId="77777777" w:rsidR="007157A6" w:rsidRPr="007157A6" w:rsidRDefault="007157A6" w:rsidP="007157A6">
            <w:pPr>
              <w:rPr>
                <w:lang w:val="en-GB"/>
              </w:rPr>
            </w:pPr>
          </w:p>
        </w:tc>
      </w:tr>
      <w:tr w:rsidR="007157A6" w:rsidRPr="007157A6" w14:paraId="65F06FCA" w14:textId="77777777" w:rsidTr="00C850ED">
        <w:tc>
          <w:tcPr>
            <w:tcW w:w="8642" w:type="dxa"/>
            <w:shd w:val="clear" w:color="auto" w:fill="D9D9D9" w:themeFill="background1" w:themeFillShade="D9"/>
          </w:tcPr>
          <w:p w14:paraId="19E94027"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44EDE27"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0AD4AAD"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13166D6C"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5E707FE8"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1CE7CB0D"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36572C4" w14:textId="77777777" w:rsidR="007157A6" w:rsidRPr="007157A6" w:rsidRDefault="007157A6" w:rsidP="007157A6">
            <w:pPr>
              <w:rPr>
                <w:lang w:val="en-GB"/>
              </w:rPr>
            </w:pPr>
            <w:r w:rsidRPr="007157A6">
              <w:rPr>
                <w:b/>
                <w:lang w:val="en-GB"/>
              </w:rPr>
              <w:t>1</w:t>
            </w:r>
          </w:p>
        </w:tc>
      </w:tr>
      <w:tr w:rsidR="007157A6" w:rsidRPr="007157A6" w14:paraId="7F8F98A0" w14:textId="77777777" w:rsidTr="00C850ED">
        <w:tc>
          <w:tcPr>
            <w:tcW w:w="8642" w:type="dxa"/>
            <w:vMerge w:val="restart"/>
          </w:tcPr>
          <w:p w14:paraId="53FD8720" w14:textId="77777777" w:rsidR="007157A6" w:rsidRPr="007157A6" w:rsidRDefault="007157A6" w:rsidP="007157A6">
            <w:pPr>
              <w:rPr>
                <w:lang w:val="en-GB"/>
              </w:rPr>
            </w:pPr>
            <w:r w:rsidRPr="007157A6">
              <w:rPr>
                <w:lang w:val="en-GB"/>
              </w:rPr>
              <w:t>Evaluate the extent to which a significant market for fungible infrastructure investments could be created through funding vehicles for projects that accord with transformative projects (e.g. infrastructure REITS).</w:t>
            </w:r>
          </w:p>
        </w:tc>
        <w:tc>
          <w:tcPr>
            <w:tcW w:w="3544" w:type="dxa"/>
          </w:tcPr>
          <w:p w14:paraId="4035C24C" w14:textId="77777777" w:rsidR="007157A6" w:rsidRPr="007157A6" w:rsidRDefault="007157A6" w:rsidP="007157A6">
            <w:pPr>
              <w:rPr>
                <w:lang w:val="en-GB"/>
              </w:rPr>
            </w:pPr>
            <w:r w:rsidRPr="007157A6">
              <w:rPr>
                <w:lang w:val="en-GB"/>
              </w:rPr>
              <w:t>Will foster Sustainable Finance in Germany</w:t>
            </w:r>
          </w:p>
        </w:tc>
        <w:tc>
          <w:tcPr>
            <w:tcW w:w="418" w:type="dxa"/>
          </w:tcPr>
          <w:p w14:paraId="696BB81F" w14:textId="77777777" w:rsidR="007157A6" w:rsidRPr="007157A6" w:rsidRDefault="007157A6" w:rsidP="007157A6">
            <w:pPr>
              <w:rPr>
                <w:lang w:val="en-GB"/>
              </w:rPr>
            </w:pPr>
          </w:p>
        </w:tc>
        <w:tc>
          <w:tcPr>
            <w:tcW w:w="418" w:type="dxa"/>
          </w:tcPr>
          <w:p w14:paraId="64836749" w14:textId="77777777" w:rsidR="007157A6" w:rsidRPr="007157A6" w:rsidRDefault="007157A6" w:rsidP="007157A6">
            <w:pPr>
              <w:rPr>
                <w:lang w:val="en-GB"/>
              </w:rPr>
            </w:pPr>
          </w:p>
        </w:tc>
        <w:tc>
          <w:tcPr>
            <w:tcW w:w="418" w:type="dxa"/>
          </w:tcPr>
          <w:p w14:paraId="201E362F" w14:textId="77777777" w:rsidR="007157A6" w:rsidRPr="007157A6" w:rsidRDefault="007157A6" w:rsidP="007157A6">
            <w:pPr>
              <w:rPr>
                <w:lang w:val="en-GB"/>
              </w:rPr>
            </w:pPr>
          </w:p>
        </w:tc>
        <w:tc>
          <w:tcPr>
            <w:tcW w:w="418" w:type="dxa"/>
          </w:tcPr>
          <w:p w14:paraId="42117AAC" w14:textId="77777777" w:rsidR="007157A6" w:rsidRPr="007157A6" w:rsidRDefault="007157A6" w:rsidP="007157A6">
            <w:pPr>
              <w:rPr>
                <w:lang w:val="en-GB"/>
              </w:rPr>
            </w:pPr>
          </w:p>
        </w:tc>
        <w:tc>
          <w:tcPr>
            <w:tcW w:w="419" w:type="dxa"/>
          </w:tcPr>
          <w:p w14:paraId="339BEAE8" w14:textId="77777777" w:rsidR="007157A6" w:rsidRPr="007157A6" w:rsidRDefault="007157A6" w:rsidP="007157A6">
            <w:pPr>
              <w:rPr>
                <w:lang w:val="en-GB"/>
              </w:rPr>
            </w:pPr>
          </w:p>
        </w:tc>
      </w:tr>
      <w:tr w:rsidR="007157A6" w:rsidRPr="007157A6" w14:paraId="341F5C73" w14:textId="77777777" w:rsidTr="00C850ED">
        <w:tc>
          <w:tcPr>
            <w:tcW w:w="8642" w:type="dxa"/>
            <w:vMerge/>
          </w:tcPr>
          <w:p w14:paraId="42DF23DE" w14:textId="77777777" w:rsidR="007157A6" w:rsidRPr="007157A6" w:rsidRDefault="007157A6" w:rsidP="007157A6">
            <w:pPr>
              <w:rPr>
                <w:lang w:val="en-GB"/>
              </w:rPr>
            </w:pPr>
          </w:p>
        </w:tc>
        <w:tc>
          <w:tcPr>
            <w:tcW w:w="3544" w:type="dxa"/>
          </w:tcPr>
          <w:p w14:paraId="056FCB4D" w14:textId="77777777" w:rsidR="007157A6" w:rsidRPr="007157A6" w:rsidRDefault="007157A6" w:rsidP="007157A6">
            <w:pPr>
              <w:rPr>
                <w:lang w:val="en-GB"/>
              </w:rPr>
            </w:pPr>
            <w:r w:rsidRPr="007157A6">
              <w:rPr>
                <w:lang w:val="en-GB"/>
              </w:rPr>
              <w:t>Level of ambition</w:t>
            </w:r>
          </w:p>
        </w:tc>
        <w:tc>
          <w:tcPr>
            <w:tcW w:w="418" w:type="dxa"/>
          </w:tcPr>
          <w:p w14:paraId="2CD6FFAC" w14:textId="77777777" w:rsidR="007157A6" w:rsidRPr="007157A6" w:rsidRDefault="007157A6" w:rsidP="007157A6">
            <w:pPr>
              <w:rPr>
                <w:lang w:val="en-GB"/>
              </w:rPr>
            </w:pPr>
          </w:p>
        </w:tc>
        <w:tc>
          <w:tcPr>
            <w:tcW w:w="418" w:type="dxa"/>
          </w:tcPr>
          <w:p w14:paraId="4F1B33E3" w14:textId="77777777" w:rsidR="007157A6" w:rsidRPr="007157A6" w:rsidRDefault="007157A6" w:rsidP="007157A6">
            <w:pPr>
              <w:rPr>
                <w:lang w:val="en-GB"/>
              </w:rPr>
            </w:pPr>
          </w:p>
        </w:tc>
        <w:tc>
          <w:tcPr>
            <w:tcW w:w="418" w:type="dxa"/>
          </w:tcPr>
          <w:p w14:paraId="61A27377" w14:textId="77777777" w:rsidR="007157A6" w:rsidRPr="007157A6" w:rsidRDefault="007157A6" w:rsidP="007157A6">
            <w:pPr>
              <w:rPr>
                <w:lang w:val="en-GB"/>
              </w:rPr>
            </w:pPr>
          </w:p>
        </w:tc>
        <w:tc>
          <w:tcPr>
            <w:tcW w:w="418" w:type="dxa"/>
          </w:tcPr>
          <w:p w14:paraId="30347A91" w14:textId="77777777" w:rsidR="007157A6" w:rsidRPr="007157A6" w:rsidRDefault="007157A6" w:rsidP="007157A6">
            <w:pPr>
              <w:rPr>
                <w:lang w:val="en-GB"/>
              </w:rPr>
            </w:pPr>
          </w:p>
        </w:tc>
        <w:tc>
          <w:tcPr>
            <w:tcW w:w="419" w:type="dxa"/>
          </w:tcPr>
          <w:p w14:paraId="684EDA73" w14:textId="77777777" w:rsidR="007157A6" w:rsidRPr="007157A6" w:rsidRDefault="007157A6" w:rsidP="007157A6">
            <w:pPr>
              <w:rPr>
                <w:lang w:val="en-GB"/>
              </w:rPr>
            </w:pPr>
          </w:p>
        </w:tc>
      </w:tr>
      <w:tr w:rsidR="007157A6" w:rsidRPr="007157A6" w14:paraId="16F3B621" w14:textId="77777777" w:rsidTr="00C850ED">
        <w:tc>
          <w:tcPr>
            <w:tcW w:w="8642" w:type="dxa"/>
            <w:vMerge/>
          </w:tcPr>
          <w:p w14:paraId="322A661E" w14:textId="77777777" w:rsidR="007157A6" w:rsidRPr="007157A6" w:rsidRDefault="007157A6" w:rsidP="007157A6">
            <w:pPr>
              <w:rPr>
                <w:lang w:val="en-GB"/>
              </w:rPr>
            </w:pPr>
          </w:p>
        </w:tc>
        <w:tc>
          <w:tcPr>
            <w:tcW w:w="3544" w:type="dxa"/>
          </w:tcPr>
          <w:p w14:paraId="1F9C6B89" w14:textId="77777777" w:rsidR="007157A6" w:rsidRPr="007157A6" w:rsidRDefault="007157A6" w:rsidP="007157A6">
            <w:pPr>
              <w:rPr>
                <w:lang w:val="en-GB"/>
              </w:rPr>
            </w:pPr>
            <w:r w:rsidRPr="007157A6">
              <w:rPr>
                <w:lang w:val="en-GB"/>
              </w:rPr>
              <w:t>Practicability</w:t>
            </w:r>
          </w:p>
        </w:tc>
        <w:tc>
          <w:tcPr>
            <w:tcW w:w="418" w:type="dxa"/>
          </w:tcPr>
          <w:p w14:paraId="4ED62A0E" w14:textId="77777777" w:rsidR="007157A6" w:rsidRPr="007157A6" w:rsidRDefault="007157A6" w:rsidP="007157A6">
            <w:pPr>
              <w:rPr>
                <w:lang w:val="en-GB"/>
              </w:rPr>
            </w:pPr>
          </w:p>
        </w:tc>
        <w:tc>
          <w:tcPr>
            <w:tcW w:w="418" w:type="dxa"/>
          </w:tcPr>
          <w:p w14:paraId="09183946" w14:textId="77777777" w:rsidR="007157A6" w:rsidRPr="007157A6" w:rsidRDefault="007157A6" w:rsidP="007157A6">
            <w:pPr>
              <w:rPr>
                <w:lang w:val="en-GB"/>
              </w:rPr>
            </w:pPr>
          </w:p>
        </w:tc>
        <w:tc>
          <w:tcPr>
            <w:tcW w:w="418" w:type="dxa"/>
          </w:tcPr>
          <w:p w14:paraId="0159F246" w14:textId="77777777" w:rsidR="007157A6" w:rsidRPr="007157A6" w:rsidRDefault="007157A6" w:rsidP="007157A6">
            <w:pPr>
              <w:rPr>
                <w:lang w:val="en-GB"/>
              </w:rPr>
            </w:pPr>
          </w:p>
        </w:tc>
        <w:tc>
          <w:tcPr>
            <w:tcW w:w="418" w:type="dxa"/>
          </w:tcPr>
          <w:p w14:paraId="72B0119D" w14:textId="77777777" w:rsidR="007157A6" w:rsidRPr="007157A6" w:rsidRDefault="007157A6" w:rsidP="007157A6">
            <w:pPr>
              <w:rPr>
                <w:lang w:val="en-GB"/>
              </w:rPr>
            </w:pPr>
          </w:p>
        </w:tc>
        <w:tc>
          <w:tcPr>
            <w:tcW w:w="419" w:type="dxa"/>
          </w:tcPr>
          <w:p w14:paraId="67A097FD" w14:textId="77777777" w:rsidR="007157A6" w:rsidRPr="007157A6" w:rsidRDefault="007157A6" w:rsidP="007157A6">
            <w:pPr>
              <w:rPr>
                <w:lang w:val="en-GB"/>
              </w:rPr>
            </w:pPr>
          </w:p>
        </w:tc>
      </w:tr>
      <w:tr w:rsidR="007157A6" w:rsidRPr="007157A6" w14:paraId="1077FC4E" w14:textId="77777777" w:rsidTr="00C850ED">
        <w:tc>
          <w:tcPr>
            <w:tcW w:w="8642" w:type="dxa"/>
            <w:vMerge/>
          </w:tcPr>
          <w:p w14:paraId="1E9ED513" w14:textId="77777777" w:rsidR="007157A6" w:rsidRPr="007157A6" w:rsidRDefault="007157A6" w:rsidP="007157A6">
            <w:pPr>
              <w:rPr>
                <w:lang w:val="en-GB"/>
              </w:rPr>
            </w:pPr>
          </w:p>
        </w:tc>
        <w:tc>
          <w:tcPr>
            <w:tcW w:w="3544" w:type="dxa"/>
          </w:tcPr>
          <w:p w14:paraId="4E60FF83"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A37149C" w14:textId="77777777" w:rsidR="007157A6" w:rsidRPr="007157A6" w:rsidRDefault="007157A6" w:rsidP="007157A6">
            <w:pPr>
              <w:rPr>
                <w:lang w:val="en-GB"/>
              </w:rPr>
            </w:pPr>
          </w:p>
        </w:tc>
        <w:tc>
          <w:tcPr>
            <w:tcW w:w="418" w:type="dxa"/>
          </w:tcPr>
          <w:p w14:paraId="2E1EA493" w14:textId="77777777" w:rsidR="007157A6" w:rsidRPr="007157A6" w:rsidRDefault="007157A6" w:rsidP="007157A6">
            <w:pPr>
              <w:rPr>
                <w:lang w:val="en-GB"/>
              </w:rPr>
            </w:pPr>
          </w:p>
        </w:tc>
        <w:tc>
          <w:tcPr>
            <w:tcW w:w="418" w:type="dxa"/>
          </w:tcPr>
          <w:p w14:paraId="689C77A3" w14:textId="77777777" w:rsidR="007157A6" w:rsidRPr="007157A6" w:rsidRDefault="007157A6" w:rsidP="007157A6">
            <w:pPr>
              <w:rPr>
                <w:lang w:val="en-GB"/>
              </w:rPr>
            </w:pPr>
          </w:p>
        </w:tc>
        <w:tc>
          <w:tcPr>
            <w:tcW w:w="418" w:type="dxa"/>
          </w:tcPr>
          <w:p w14:paraId="55A6990E" w14:textId="77777777" w:rsidR="007157A6" w:rsidRPr="007157A6" w:rsidRDefault="007157A6" w:rsidP="007157A6">
            <w:pPr>
              <w:rPr>
                <w:lang w:val="en-GB"/>
              </w:rPr>
            </w:pPr>
          </w:p>
        </w:tc>
        <w:tc>
          <w:tcPr>
            <w:tcW w:w="419" w:type="dxa"/>
          </w:tcPr>
          <w:p w14:paraId="734A9D0D" w14:textId="77777777" w:rsidR="007157A6" w:rsidRPr="007157A6" w:rsidRDefault="007157A6" w:rsidP="007157A6">
            <w:pPr>
              <w:rPr>
                <w:lang w:val="en-GB"/>
              </w:rPr>
            </w:pPr>
          </w:p>
        </w:tc>
      </w:tr>
      <w:tr w:rsidR="007157A6" w:rsidRPr="007157A6" w14:paraId="4845A977" w14:textId="77777777" w:rsidTr="00C850ED">
        <w:tc>
          <w:tcPr>
            <w:tcW w:w="8642" w:type="dxa"/>
            <w:shd w:val="clear" w:color="auto" w:fill="D9D9D9" w:themeFill="background1" w:themeFillShade="D9"/>
          </w:tcPr>
          <w:p w14:paraId="6616E41F"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173A6469"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362AE03E"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25E98B08"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0B8789F3"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69C3F329"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1D545B77" w14:textId="77777777" w:rsidR="007157A6" w:rsidRPr="007157A6" w:rsidRDefault="007157A6" w:rsidP="007157A6">
            <w:pPr>
              <w:rPr>
                <w:b/>
                <w:lang w:val="en-GB"/>
              </w:rPr>
            </w:pPr>
            <w:r w:rsidRPr="007157A6">
              <w:rPr>
                <w:b/>
                <w:lang w:val="en-GB"/>
              </w:rPr>
              <w:t>1</w:t>
            </w:r>
          </w:p>
        </w:tc>
      </w:tr>
      <w:tr w:rsidR="007157A6" w:rsidRPr="007157A6" w14:paraId="50C36315" w14:textId="77777777" w:rsidTr="00C850ED">
        <w:tc>
          <w:tcPr>
            <w:tcW w:w="8642" w:type="dxa"/>
            <w:vMerge w:val="restart"/>
          </w:tcPr>
          <w:p w14:paraId="33830DC7" w14:textId="77777777" w:rsidR="007157A6" w:rsidRPr="007157A6" w:rsidRDefault="007157A6" w:rsidP="007157A6">
            <w:pPr>
              <w:rPr>
                <w:lang w:val="en-GB"/>
              </w:rPr>
            </w:pPr>
            <w:r w:rsidRPr="007157A6">
              <w:rPr>
                <w:lang w:val="en-GB"/>
              </w:rPr>
              <w:t>Approve impact products as described in the Transparency Regulation pursuant to the exceptions for public, national Alternative Investment Funds (AIF), analogous to section 222 of the German Capital Investment Code (KAGB) respecting investments in microfinance institutions.</w:t>
            </w:r>
          </w:p>
        </w:tc>
        <w:tc>
          <w:tcPr>
            <w:tcW w:w="3544" w:type="dxa"/>
          </w:tcPr>
          <w:p w14:paraId="45B45313" w14:textId="77777777" w:rsidR="007157A6" w:rsidRPr="007157A6" w:rsidRDefault="007157A6" w:rsidP="007157A6">
            <w:pPr>
              <w:rPr>
                <w:lang w:val="en-GB"/>
              </w:rPr>
            </w:pPr>
            <w:r w:rsidRPr="007157A6">
              <w:rPr>
                <w:lang w:val="en-GB"/>
              </w:rPr>
              <w:t>Will foster Sustainable Finance in Germany</w:t>
            </w:r>
          </w:p>
        </w:tc>
        <w:tc>
          <w:tcPr>
            <w:tcW w:w="418" w:type="dxa"/>
          </w:tcPr>
          <w:p w14:paraId="31E3DA31" w14:textId="77777777" w:rsidR="007157A6" w:rsidRPr="007157A6" w:rsidRDefault="007157A6" w:rsidP="007157A6">
            <w:pPr>
              <w:rPr>
                <w:lang w:val="en-GB"/>
              </w:rPr>
            </w:pPr>
          </w:p>
        </w:tc>
        <w:tc>
          <w:tcPr>
            <w:tcW w:w="418" w:type="dxa"/>
          </w:tcPr>
          <w:p w14:paraId="0D365EEC" w14:textId="77777777" w:rsidR="007157A6" w:rsidRPr="007157A6" w:rsidRDefault="007157A6" w:rsidP="007157A6">
            <w:pPr>
              <w:rPr>
                <w:lang w:val="en-GB"/>
              </w:rPr>
            </w:pPr>
          </w:p>
        </w:tc>
        <w:tc>
          <w:tcPr>
            <w:tcW w:w="418" w:type="dxa"/>
          </w:tcPr>
          <w:p w14:paraId="79E44465" w14:textId="77777777" w:rsidR="007157A6" w:rsidRPr="007157A6" w:rsidRDefault="007157A6" w:rsidP="007157A6">
            <w:pPr>
              <w:rPr>
                <w:lang w:val="en-GB"/>
              </w:rPr>
            </w:pPr>
          </w:p>
        </w:tc>
        <w:tc>
          <w:tcPr>
            <w:tcW w:w="418" w:type="dxa"/>
          </w:tcPr>
          <w:p w14:paraId="4520CD87" w14:textId="77777777" w:rsidR="007157A6" w:rsidRPr="007157A6" w:rsidRDefault="007157A6" w:rsidP="007157A6">
            <w:pPr>
              <w:rPr>
                <w:lang w:val="en-GB"/>
              </w:rPr>
            </w:pPr>
          </w:p>
        </w:tc>
        <w:tc>
          <w:tcPr>
            <w:tcW w:w="419" w:type="dxa"/>
          </w:tcPr>
          <w:p w14:paraId="1679912F" w14:textId="77777777" w:rsidR="007157A6" w:rsidRPr="007157A6" w:rsidRDefault="007157A6" w:rsidP="007157A6">
            <w:pPr>
              <w:rPr>
                <w:lang w:val="en-GB"/>
              </w:rPr>
            </w:pPr>
          </w:p>
        </w:tc>
      </w:tr>
      <w:tr w:rsidR="007157A6" w:rsidRPr="007157A6" w14:paraId="51B3F0F2" w14:textId="77777777" w:rsidTr="00C850ED">
        <w:tc>
          <w:tcPr>
            <w:tcW w:w="8642" w:type="dxa"/>
            <w:vMerge/>
          </w:tcPr>
          <w:p w14:paraId="72BD0081" w14:textId="77777777" w:rsidR="007157A6" w:rsidRPr="007157A6" w:rsidRDefault="007157A6" w:rsidP="007157A6">
            <w:pPr>
              <w:rPr>
                <w:lang w:val="en-GB"/>
              </w:rPr>
            </w:pPr>
          </w:p>
        </w:tc>
        <w:tc>
          <w:tcPr>
            <w:tcW w:w="3544" w:type="dxa"/>
          </w:tcPr>
          <w:p w14:paraId="57C959EF" w14:textId="77777777" w:rsidR="007157A6" w:rsidRPr="007157A6" w:rsidRDefault="007157A6" w:rsidP="007157A6">
            <w:pPr>
              <w:rPr>
                <w:lang w:val="en-GB"/>
              </w:rPr>
            </w:pPr>
            <w:r w:rsidRPr="007157A6">
              <w:rPr>
                <w:lang w:val="en-GB"/>
              </w:rPr>
              <w:t>Level of ambition</w:t>
            </w:r>
          </w:p>
        </w:tc>
        <w:tc>
          <w:tcPr>
            <w:tcW w:w="418" w:type="dxa"/>
          </w:tcPr>
          <w:p w14:paraId="628C1671" w14:textId="77777777" w:rsidR="007157A6" w:rsidRPr="007157A6" w:rsidRDefault="007157A6" w:rsidP="007157A6">
            <w:pPr>
              <w:rPr>
                <w:lang w:val="en-GB"/>
              </w:rPr>
            </w:pPr>
          </w:p>
        </w:tc>
        <w:tc>
          <w:tcPr>
            <w:tcW w:w="418" w:type="dxa"/>
          </w:tcPr>
          <w:p w14:paraId="3345C71E" w14:textId="77777777" w:rsidR="007157A6" w:rsidRPr="007157A6" w:rsidRDefault="007157A6" w:rsidP="007157A6">
            <w:pPr>
              <w:rPr>
                <w:lang w:val="en-GB"/>
              </w:rPr>
            </w:pPr>
          </w:p>
        </w:tc>
        <w:tc>
          <w:tcPr>
            <w:tcW w:w="418" w:type="dxa"/>
          </w:tcPr>
          <w:p w14:paraId="16F48A1D" w14:textId="77777777" w:rsidR="007157A6" w:rsidRPr="007157A6" w:rsidRDefault="007157A6" w:rsidP="007157A6">
            <w:pPr>
              <w:rPr>
                <w:lang w:val="en-GB"/>
              </w:rPr>
            </w:pPr>
          </w:p>
        </w:tc>
        <w:tc>
          <w:tcPr>
            <w:tcW w:w="418" w:type="dxa"/>
          </w:tcPr>
          <w:p w14:paraId="3E634790" w14:textId="77777777" w:rsidR="007157A6" w:rsidRPr="007157A6" w:rsidRDefault="007157A6" w:rsidP="007157A6">
            <w:pPr>
              <w:rPr>
                <w:lang w:val="en-GB"/>
              </w:rPr>
            </w:pPr>
          </w:p>
        </w:tc>
        <w:tc>
          <w:tcPr>
            <w:tcW w:w="419" w:type="dxa"/>
          </w:tcPr>
          <w:p w14:paraId="01BD2EAA" w14:textId="77777777" w:rsidR="007157A6" w:rsidRPr="007157A6" w:rsidRDefault="007157A6" w:rsidP="007157A6">
            <w:pPr>
              <w:rPr>
                <w:lang w:val="en-GB"/>
              </w:rPr>
            </w:pPr>
          </w:p>
        </w:tc>
      </w:tr>
      <w:tr w:rsidR="007157A6" w:rsidRPr="007157A6" w14:paraId="2F12A4A2" w14:textId="77777777" w:rsidTr="00C850ED">
        <w:tc>
          <w:tcPr>
            <w:tcW w:w="8642" w:type="dxa"/>
            <w:vMerge/>
          </w:tcPr>
          <w:p w14:paraId="7F2F4ECD" w14:textId="77777777" w:rsidR="007157A6" w:rsidRPr="007157A6" w:rsidRDefault="007157A6" w:rsidP="007157A6">
            <w:pPr>
              <w:rPr>
                <w:lang w:val="en-GB"/>
              </w:rPr>
            </w:pPr>
          </w:p>
        </w:tc>
        <w:tc>
          <w:tcPr>
            <w:tcW w:w="3544" w:type="dxa"/>
          </w:tcPr>
          <w:p w14:paraId="54EF0BFA" w14:textId="77777777" w:rsidR="007157A6" w:rsidRPr="007157A6" w:rsidRDefault="007157A6" w:rsidP="007157A6">
            <w:pPr>
              <w:rPr>
                <w:lang w:val="en-GB"/>
              </w:rPr>
            </w:pPr>
            <w:r w:rsidRPr="007157A6">
              <w:rPr>
                <w:lang w:val="en-GB"/>
              </w:rPr>
              <w:t>Practicability</w:t>
            </w:r>
          </w:p>
        </w:tc>
        <w:tc>
          <w:tcPr>
            <w:tcW w:w="418" w:type="dxa"/>
          </w:tcPr>
          <w:p w14:paraId="71AB593F" w14:textId="77777777" w:rsidR="007157A6" w:rsidRPr="007157A6" w:rsidRDefault="007157A6" w:rsidP="007157A6">
            <w:pPr>
              <w:rPr>
                <w:lang w:val="en-GB"/>
              </w:rPr>
            </w:pPr>
          </w:p>
        </w:tc>
        <w:tc>
          <w:tcPr>
            <w:tcW w:w="418" w:type="dxa"/>
          </w:tcPr>
          <w:p w14:paraId="558BC783" w14:textId="77777777" w:rsidR="007157A6" w:rsidRPr="007157A6" w:rsidRDefault="007157A6" w:rsidP="007157A6">
            <w:pPr>
              <w:rPr>
                <w:lang w:val="en-GB"/>
              </w:rPr>
            </w:pPr>
          </w:p>
        </w:tc>
        <w:tc>
          <w:tcPr>
            <w:tcW w:w="418" w:type="dxa"/>
          </w:tcPr>
          <w:p w14:paraId="6E71CFB8" w14:textId="77777777" w:rsidR="007157A6" w:rsidRPr="007157A6" w:rsidRDefault="007157A6" w:rsidP="007157A6">
            <w:pPr>
              <w:rPr>
                <w:lang w:val="en-GB"/>
              </w:rPr>
            </w:pPr>
          </w:p>
        </w:tc>
        <w:tc>
          <w:tcPr>
            <w:tcW w:w="418" w:type="dxa"/>
          </w:tcPr>
          <w:p w14:paraId="1F3AAB99" w14:textId="77777777" w:rsidR="007157A6" w:rsidRPr="007157A6" w:rsidRDefault="007157A6" w:rsidP="007157A6">
            <w:pPr>
              <w:rPr>
                <w:lang w:val="en-GB"/>
              </w:rPr>
            </w:pPr>
          </w:p>
        </w:tc>
        <w:tc>
          <w:tcPr>
            <w:tcW w:w="419" w:type="dxa"/>
          </w:tcPr>
          <w:p w14:paraId="28D5D9D6" w14:textId="77777777" w:rsidR="007157A6" w:rsidRPr="007157A6" w:rsidRDefault="007157A6" w:rsidP="007157A6">
            <w:pPr>
              <w:rPr>
                <w:lang w:val="en-GB"/>
              </w:rPr>
            </w:pPr>
          </w:p>
        </w:tc>
      </w:tr>
      <w:tr w:rsidR="007157A6" w:rsidRPr="007157A6" w14:paraId="5AC5C79D" w14:textId="77777777" w:rsidTr="00C850ED">
        <w:tc>
          <w:tcPr>
            <w:tcW w:w="8642" w:type="dxa"/>
            <w:vMerge/>
          </w:tcPr>
          <w:p w14:paraId="7942B609" w14:textId="77777777" w:rsidR="007157A6" w:rsidRPr="007157A6" w:rsidRDefault="007157A6" w:rsidP="007157A6">
            <w:pPr>
              <w:rPr>
                <w:lang w:val="en-GB"/>
              </w:rPr>
            </w:pPr>
          </w:p>
        </w:tc>
        <w:tc>
          <w:tcPr>
            <w:tcW w:w="3544" w:type="dxa"/>
          </w:tcPr>
          <w:p w14:paraId="0F4E79A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09D8AE1" w14:textId="77777777" w:rsidR="007157A6" w:rsidRPr="007157A6" w:rsidRDefault="007157A6" w:rsidP="007157A6">
            <w:pPr>
              <w:rPr>
                <w:lang w:val="en-GB"/>
              </w:rPr>
            </w:pPr>
          </w:p>
        </w:tc>
        <w:tc>
          <w:tcPr>
            <w:tcW w:w="418" w:type="dxa"/>
          </w:tcPr>
          <w:p w14:paraId="46E5AEB5" w14:textId="77777777" w:rsidR="007157A6" w:rsidRPr="007157A6" w:rsidRDefault="007157A6" w:rsidP="007157A6">
            <w:pPr>
              <w:rPr>
                <w:lang w:val="en-GB"/>
              </w:rPr>
            </w:pPr>
          </w:p>
        </w:tc>
        <w:tc>
          <w:tcPr>
            <w:tcW w:w="418" w:type="dxa"/>
          </w:tcPr>
          <w:p w14:paraId="746C2ED7" w14:textId="77777777" w:rsidR="007157A6" w:rsidRPr="007157A6" w:rsidRDefault="007157A6" w:rsidP="007157A6">
            <w:pPr>
              <w:rPr>
                <w:lang w:val="en-GB"/>
              </w:rPr>
            </w:pPr>
          </w:p>
        </w:tc>
        <w:tc>
          <w:tcPr>
            <w:tcW w:w="418" w:type="dxa"/>
          </w:tcPr>
          <w:p w14:paraId="754DED2E" w14:textId="77777777" w:rsidR="007157A6" w:rsidRPr="007157A6" w:rsidRDefault="007157A6" w:rsidP="007157A6">
            <w:pPr>
              <w:rPr>
                <w:lang w:val="en-GB"/>
              </w:rPr>
            </w:pPr>
          </w:p>
        </w:tc>
        <w:tc>
          <w:tcPr>
            <w:tcW w:w="419" w:type="dxa"/>
          </w:tcPr>
          <w:p w14:paraId="49910050" w14:textId="77777777" w:rsidR="007157A6" w:rsidRPr="007157A6" w:rsidRDefault="007157A6" w:rsidP="007157A6">
            <w:pPr>
              <w:rPr>
                <w:lang w:val="en-GB"/>
              </w:rPr>
            </w:pPr>
          </w:p>
        </w:tc>
      </w:tr>
      <w:tr w:rsidR="007157A6" w:rsidRPr="007157A6" w14:paraId="7F77F7EC" w14:textId="77777777" w:rsidTr="00C850ED">
        <w:tc>
          <w:tcPr>
            <w:tcW w:w="8642" w:type="dxa"/>
            <w:shd w:val="clear" w:color="auto" w:fill="D9D9D9" w:themeFill="background1" w:themeFillShade="D9"/>
          </w:tcPr>
          <w:p w14:paraId="7087C7F8"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40F718D"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F83FCD2"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586F2E3"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2520A5D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7086E57F"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21F226A" w14:textId="77777777" w:rsidR="007157A6" w:rsidRPr="007157A6" w:rsidRDefault="007157A6" w:rsidP="007157A6">
            <w:pPr>
              <w:rPr>
                <w:lang w:val="en-GB"/>
              </w:rPr>
            </w:pPr>
            <w:r w:rsidRPr="007157A6">
              <w:rPr>
                <w:b/>
                <w:lang w:val="en-GB"/>
              </w:rPr>
              <w:t>1</w:t>
            </w:r>
          </w:p>
        </w:tc>
      </w:tr>
      <w:tr w:rsidR="007157A6" w:rsidRPr="007157A6" w14:paraId="690287FF" w14:textId="77777777" w:rsidTr="00C850ED">
        <w:tc>
          <w:tcPr>
            <w:tcW w:w="8642" w:type="dxa"/>
            <w:vMerge w:val="restart"/>
          </w:tcPr>
          <w:p w14:paraId="386F1A83" w14:textId="77777777" w:rsidR="007157A6" w:rsidRPr="007157A6" w:rsidRDefault="007157A6" w:rsidP="007157A6">
            <w:pPr>
              <w:rPr>
                <w:lang w:val="en-GB"/>
              </w:rPr>
            </w:pPr>
            <w:r w:rsidRPr="007157A6">
              <w:rPr>
                <w:lang w:val="en-GB"/>
              </w:rPr>
              <w:t>Develop sustainable projects and activities eligible for funding: The number of projects offering an adequate volume and an acceptable risk profile for the financing institutions falls short of the very high level of funding needs. Analyses of technological aspects such as environmental technology or the functionality of social projects as well as comprehensive project development are some of the prerequisites in this regard.</w:t>
            </w:r>
          </w:p>
        </w:tc>
        <w:tc>
          <w:tcPr>
            <w:tcW w:w="3544" w:type="dxa"/>
          </w:tcPr>
          <w:p w14:paraId="1958F539" w14:textId="77777777" w:rsidR="007157A6" w:rsidRPr="007157A6" w:rsidRDefault="007157A6" w:rsidP="007157A6">
            <w:pPr>
              <w:rPr>
                <w:lang w:val="en-GB"/>
              </w:rPr>
            </w:pPr>
            <w:r w:rsidRPr="007157A6">
              <w:rPr>
                <w:lang w:val="en-GB"/>
              </w:rPr>
              <w:t>Will foster Sustainable Finance in Germany</w:t>
            </w:r>
          </w:p>
        </w:tc>
        <w:tc>
          <w:tcPr>
            <w:tcW w:w="418" w:type="dxa"/>
          </w:tcPr>
          <w:p w14:paraId="04C45930" w14:textId="77777777" w:rsidR="007157A6" w:rsidRPr="007157A6" w:rsidRDefault="007157A6" w:rsidP="007157A6">
            <w:pPr>
              <w:rPr>
                <w:lang w:val="en-GB"/>
              </w:rPr>
            </w:pPr>
          </w:p>
        </w:tc>
        <w:tc>
          <w:tcPr>
            <w:tcW w:w="418" w:type="dxa"/>
          </w:tcPr>
          <w:p w14:paraId="7B9E32DE" w14:textId="77777777" w:rsidR="007157A6" w:rsidRPr="007157A6" w:rsidRDefault="007157A6" w:rsidP="007157A6">
            <w:pPr>
              <w:rPr>
                <w:lang w:val="en-GB"/>
              </w:rPr>
            </w:pPr>
          </w:p>
        </w:tc>
        <w:tc>
          <w:tcPr>
            <w:tcW w:w="418" w:type="dxa"/>
          </w:tcPr>
          <w:p w14:paraId="7F1263D5" w14:textId="77777777" w:rsidR="007157A6" w:rsidRPr="007157A6" w:rsidRDefault="007157A6" w:rsidP="007157A6">
            <w:pPr>
              <w:rPr>
                <w:lang w:val="en-GB"/>
              </w:rPr>
            </w:pPr>
          </w:p>
        </w:tc>
        <w:tc>
          <w:tcPr>
            <w:tcW w:w="418" w:type="dxa"/>
          </w:tcPr>
          <w:p w14:paraId="7F8CE5E0" w14:textId="77777777" w:rsidR="007157A6" w:rsidRPr="007157A6" w:rsidRDefault="007157A6" w:rsidP="007157A6">
            <w:pPr>
              <w:rPr>
                <w:lang w:val="en-GB"/>
              </w:rPr>
            </w:pPr>
          </w:p>
        </w:tc>
        <w:tc>
          <w:tcPr>
            <w:tcW w:w="419" w:type="dxa"/>
          </w:tcPr>
          <w:p w14:paraId="5B5BBA2F" w14:textId="77777777" w:rsidR="007157A6" w:rsidRPr="007157A6" w:rsidRDefault="007157A6" w:rsidP="007157A6">
            <w:pPr>
              <w:rPr>
                <w:lang w:val="en-GB"/>
              </w:rPr>
            </w:pPr>
          </w:p>
        </w:tc>
      </w:tr>
      <w:tr w:rsidR="007157A6" w:rsidRPr="007157A6" w14:paraId="70761FCA" w14:textId="77777777" w:rsidTr="00C850ED">
        <w:tc>
          <w:tcPr>
            <w:tcW w:w="8642" w:type="dxa"/>
            <w:vMerge/>
          </w:tcPr>
          <w:p w14:paraId="21282332" w14:textId="77777777" w:rsidR="007157A6" w:rsidRPr="007157A6" w:rsidRDefault="007157A6" w:rsidP="007157A6">
            <w:pPr>
              <w:rPr>
                <w:lang w:val="en-GB"/>
              </w:rPr>
            </w:pPr>
          </w:p>
        </w:tc>
        <w:tc>
          <w:tcPr>
            <w:tcW w:w="3544" w:type="dxa"/>
          </w:tcPr>
          <w:p w14:paraId="1BDAFBAD" w14:textId="77777777" w:rsidR="007157A6" w:rsidRPr="007157A6" w:rsidRDefault="007157A6" w:rsidP="007157A6">
            <w:pPr>
              <w:rPr>
                <w:lang w:val="en-GB"/>
              </w:rPr>
            </w:pPr>
            <w:r w:rsidRPr="007157A6">
              <w:rPr>
                <w:lang w:val="en-GB"/>
              </w:rPr>
              <w:t>Level of ambition</w:t>
            </w:r>
          </w:p>
        </w:tc>
        <w:tc>
          <w:tcPr>
            <w:tcW w:w="418" w:type="dxa"/>
          </w:tcPr>
          <w:p w14:paraId="3AF5CC67" w14:textId="77777777" w:rsidR="007157A6" w:rsidRPr="007157A6" w:rsidRDefault="007157A6" w:rsidP="007157A6">
            <w:pPr>
              <w:rPr>
                <w:lang w:val="en-GB"/>
              </w:rPr>
            </w:pPr>
          </w:p>
        </w:tc>
        <w:tc>
          <w:tcPr>
            <w:tcW w:w="418" w:type="dxa"/>
          </w:tcPr>
          <w:p w14:paraId="02AF59DF" w14:textId="77777777" w:rsidR="007157A6" w:rsidRPr="007157A6" w:rsidRDefault="007157A6" w:rsidP="007157A6">
            <w:pPr>
              <w:rPr>
                <w:lang w:val="en-GB"/>
              </w:rPr>
            </w:pPr>
          </w:p>
        </w:tc>
        <w:tc>
          <w:tcPr>
            <w:tcW w:w="418" w:type="dxa"/>
          </w:tcPr>
          <w:p w14:paraId="1C177A4F" w14:textId="77777777" w:rsidR="007157A6" w:rsidRPr="007157A6" w:rsidRDefault="007157A6" w:rsidP="007157A6">
            <w:pPr>
              <w:rPr>
                <w:lang w:val="en-GB"/>
              </w:rPr>
            </w:pPr>
          </w:p>
        </w:tc>
        <w:tc>
          <w:tcPr>
            <w:tcW w:w="418" w:type="dxa"/>
          </w:tcPr>
          <w:p w14:paraId="4BBBE851" w14:textId="77777777" w:rsidR="007157A6" w:rsidRPr="007157A6" w:rsidRDefault="007157A6" w:rsidP="007157A6">
            <w:pPr>
              <w:rPr>
                <w:lang w:val="en-GB"/>
              </w:rPr>
            </w:pPr>
          </w:p>
        </w:tc>
        <w:tc>
          <w:tcPr>
            <w:tcW w:w="419" w:type="dxa"/>
          </w:tcPr>
          <w:p w14:paraId="02CC3E13" w14:textId="77777777" w:rsidR="007157A6" w:rsidRPr="007157A6" w:rsidRDefault="007157A6" w:rsidP="007157A6">
            <w:pPr>
              <w:rPr>
                <w:lang w:val="en-GB"/>
              </w:rPr>
            </w:pPr>
          </w:p>
        </w:tc>
      </w:tr>
      <w:tr w:rsidR="007157A6" w:rsidRPr="007157A6" w14:paraId="55C48BA3" w14:textId="77777777" w:rsidTr="00C850ED">
        <w:tc>
          <w:tcPr>
            <w:tcW w:w="8642" w:type="dxa"/>
            <w:vMerge/>
          </w:tcPr>
          <w:p w14:paraId="7EAE6DC2" w14:textId="77777777" w:rsidR="007157A6" w:rsidRPr="007157A6" w:rsidRDefault="007157A6" w:rsidP="007157A6">
            <w:pPr>
              <w:rPr>
                <w:lang w:val="en-GB"/>
              </w:rPr>
            </w:pPr>
          </w:p>
        </w:tc>
        <w:tc>
          <w:tcPr>
            <w:tcW w:w="3544" w:type="dxa"/>
          </w:tcPr>
          <w:p w14:paraId="04B5B978" w14:textId="77777777" w:rsidR="007157A6" w:rsidRPr="007157A6" w:rsidRDefault="007157A6" w:rsidP="007157A6">
            <w:pPr>
              <w:rPr>
                <w:lang w:val="en-GB"/>
              </w:rPr>
            </w:pPr>
            <w:r w:rsidRPr="007157A6">
              <w:rPr>
                <w:lang w:val="en-GB"/>
              </w:rPr>
              <w:t>Practicability</w:t>
            </w:r>
          </w:p>
        </w:tc>
        <w:tc>
          <w:tcPr>
            <w:tcW w:w="418" w:type="dxa"/>
          </w:tcPr>
          <w:p w14:paraId="4A98EC29" w14:textId="77777777" w:rsidR="007157A6" w:rsidRPr="007157A6" w:rsidRDefault="007157A6" w:rsidP="007157A6">
            <w:pPr>
              <w:rPr>
                <w:lang w:val="en-GB"/>
              </w:rPr>
            </w:pPr>
          </w:p>
        </w:tc>
        <w:tc>
          <w:tcPr>
            <w:tcW w:w="418" w:type="dxa"/>
          </w:tcPr>
          <w:p w14:paraId="67A8CA3E" w14:textId="77777777" w:rsidR="007157A6" w:rsidRPr="007157A6" w:rsidRDefault="007157A6" w:rsidP="007157A6">
            <w:pPr>
              <w:rPr>
                <w:lang w:val="en-GB"/>
              </w:rPr>
            </w:pPr>
          </w:p>
        </w:tc>
        <w:tc>
          <w:tcPr>
            <w:tcW w:w="418" w:type="dxa"/>
          </w:tcPr>
          <w:p w14:paraId="51639533" w14:textId="77777777" w:rsidR="007157A6" w:rsidRPr="007157A6" w:rsidRDefault="007157A6" w:rsidP="007157A6">
            <w:pPr>
              <w:rPr>
                <w:lang w:val="en-GB"/>
              </w:rPr>
            </w:pPr>
          </w:p>
        </w:tc>
        <w:tc>
          <w:tcPr>
            <w:tcW w:w="418" w:type="dxa"/>
          </w:tcPr>
          <w:p w14:paraId="745F95D9" w14:textId="77777777" w:rsidR="007157A6" w:rsidRPr="007157A6" w:rsidRDefault="007157A6" w:rsidP="007157A6">
            <w:pPr>
              <w:rPr>
                <w:lang w:val="en-GB"/>
              </w:rPr>
            </w:pPr>
          </w:p>
        </w:tc>
        <w:tc>
          <w:tcPr>
            <w:tcW w:w="419" w:type="dxa"/>
          </w:tcPr>
          <w:p w14:paraId="12049B3F" w14:textId="77777777" w:rsidR="007157A6" w:rsidRPr="007157A6" w:rsidRDefault="007157A6" w:rsidP="007157A6">
            <w:pPr>
              <w:rPr>
                <w:lang w:val="en-GB"/>
              </w:rPr>
            </w:pPr>
          </w:p>
        </w:tc>
      </w:tr>
      <w:tr w:rsidR="007157A6" w:rsidRPr="007157A6" w14:paraId="1C3BE365" w14:textId="77777777" w:rsidTr="00C850ED">
        <w:tc>
          <w:tcPr>
            <w:tcW w:w="8642" w:type="dxa"/>
            <w:vMerge/>
          </w:tcPr>
          <w:p w14:paraId="702DDE8E" w14:textId="77777777" w:rsidR="007157A6" w:rsidRPr="007157A6" w:rsidRDefault="007157A6" w:rsidP="007157A6">
            <w:pPr>
              <w:rPr>
                <w:lang w:val="en-GB"/>
              </w:rPr>
            </w:pPr>
          </w:p>
        </w:tc>
        <w:tc>
          <w:tcPr>
            <w:tcW w:w="3544" w:type="dxa"/>
          </w:tcPr>
          <w:p w14:paraId="2ABFCE78"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B60A631" w14:textId="77777777" w:rsidR="007157A6" w:rsidRPr="007157A6" w:rsidRDefault="007157A6" w:rsidP="007157A6">
            <w:pPr>
              <w:rPr>
                <w:lang w:val="en-GB"/>
              </w:rPr>
            </w:pPr>
          </w:p>
        </w:tc>
        <w:tc>
          <w:tcPr>
            <w:tcW w:w="418" w:type="dxa"/>
          </w:tcPr>
          <w:p w14:paraId="65D45C0C" w14:textId="77777777" w:rsidR="007157A6" w:rsidRPr="007157A6" w:rsidRDefault="007157A6" w:rsidP="007157A6">
            <w:pPr>
              <w:rPr>
                <w:lang w:val="en-GB"/>
              </w:rPr>
            </w:pPr>
          </w:p>
        </w:tc>
        <w:tc>
          <w:tcPr>
            <w:tcW w:w="418" w:type="dxa"/>
          </w:tcPr>
          <w:p w14:paraId="1EDC25AF" w14:textId="77777777" w:rsidR="007157A6" w:rsidRPr="007157A6" w:rsidRDefault="007157A6" w:rsidP="007157A6">
            <w:pPr>
              <w:rPr>
                <w:lang w:val="en-GB"/>
              </w:rPr>
            </w:pPr>
          </w:p>
        </w:tc>
        <w:tc>
          <w:tcPr>
            <w:tcW w:w="418" w:type="dxa"/>
          </w:tcPr>
          <w:p w14:paraId="7E9E5E92" w14:textId="77777777" w:rsidR="007157A6" w:rsidRPr="007157A6" w:rsidRDefault="007157A6" w:rsidP="007157A6">
            <w:pPr>
              <w:rPr>
                <w:lang w:val="en-GB"/>
              </w:rPr>
            </w:pPr>
          </w:p>
        </w:tc>
        <w:tc>
          <w:tcPr>
            <w:tcW w:w="419" w:type="dxa"/>
          </w:tcPr>
          <w:p w14:paraId="1C9F097E" w14:textId="77777777" w:rsidR="007157A6" w:rsidRPr="007157A6" w:rsidRDefault="007157A6" w:rsidP="007157A6">
            <w:pPr>
              <w:rPr>
                <w:lang w:val="en-GB"/>
              </w:rPr>
            </w:pPr>
          </w:p>
        </w:tc>
      </w:tr>
    </w:tbl>
    <w:p w14:paraId="408F4B25" w14:textId="77777777" w:rsidR="007157A6" w:rsidRPr="007157A6" w:rsidRDefault="007157A6" w:rsidP="007157A6">
      <w:pPr>
        <w:spacing w:after="0"/>
        <w:rPr>
          <w:lang w:val="en-GB"/>
        </w:rPr>
      </w:pPr>
    </w:p>
    <w:p w14:paraId="54429FC9" w14:textId="77777777" w:rsidR="007157A6" w:rsidRPr="007157A6" w:rsidRDefault="007157A6" w:rsidP="007157A6">
      <w:pPr>
        <w:numPr>
          <w:ilvl w:val="0"/>
          <w:numId w:val="5"/>
        </w:numPr>
        <w:contextualSpacing/>
        <w:rPr>
          <w:lang w:val="en-GB"/>
        </w:rPr>
      </w:pPr>
      <w:r w:rsidRPr="007157A6">
        <w:rPr>
          <w:lang w:val="en-GB"/>
        </w:rPr>
        <w:lastRenderedPageBreak/>
        <w:t>Wh</w:t>
      </w:r>
      <w:r w:rsidR="00396D4C">
        <w:rPr>
          <w:lang w:val="en-GB"/>
        </w:rPr>
        <w:t>at</w:t>
      </w:r>
      <w:r w:rsidRPr="007157A6">
        <w:rPr>
          <w:lang w:val="en-GB"/>
        </w:rPr>
        <w:t xml:space="preserve"> regulatory measures could </w:t>
      </w:r>
      <w:r w:rsidR="00396D4C">
        <w:rPr>
          <w:lang w:val="en-GB"/>
        </w:rPr>
        <w:t>increase</w:t>
      </w:r>
      <w:r w:rsidRPr="007157A6">
        <w:rPr>
          <w:lang w:val="en-GB"/>
        </w:rPr>
        <w:t xml:space="preserve"> the fundamental sustainability orientation of financial products (beyond the niche)?</w:t>
      </w:r>
    </w:p>
    <w:p w14:paraId="1AF8B797" w14:textId="77777777" w:rsidR="007157A6" w:rsidRPr="007157A6" w:rsidRDefault="007157A6" w:rsidP="007157A6">
      <w:pPr>
        <w:rPr>
          <w:lang w:val="en-GB"/>
        </w:rPr>
      </w:pPr>
      <w:r w:rsidRPr="007157A6">
        <w:rPr>
          <w:noProof/>
          <w:lang w:eastAsia="de-DE"/>
        </w:rPr>
        <mc:AlternateContent>
          <mc:Choice Requires="wps">
            <w:drawing>
              <wp:anchor distT="0" distB="0" distL="114300" distR="114300" simplePos="0" relativeHeight="251668480" behindDoc="0" locked="0" layoutInCell="1" allowOverlap="1" wp14:anchorId="6BE59075" wp14:editId="60E3BF27">
                <wp:simplePos x="0" y="0"/>
                <wp:positionH relativeFrom="column">
                  <wp:posOffset>0</wp:posOffset>
                </wp:positionH>
                <wp:positionV relativeFrom="paragraph">
                  <wp:posOffset>0</wp:posOffset>
                </wp:positionV>
                <wp:extent cx="4460240" cy="254000"/>
                <wp:effectExtent l="0" t="0" r="16510" b="1270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7C3DF886"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5E006" id="_x0000_s1033" type="#_x0000_t202" style="position:absolute;margin-left:0;margin-top:0;width:351.2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52A7DFF7" w14:textId="77777777" w:rsidR="007157A6" w:rsidRPr="007157A6" w:rsidRDefault="007157A6" w:rsidP="007157A6">
      <w:pPr>
        <w:ind w:left="720"/>
        <w:contextualSpacing/>
        <w:rPr>
          <w:lang w:val="en-GB"/>
        </w:rPr>
      </w:pPr>
    </w:p>
    <w:p w14:paraId="0D47E4D8" w14:textId="77777777" w:rsidR="007157A6" w:rsidRPr="007157A6" w:rsidRDefault="007157A6" w:rsidP="007157A6">
      <w:pPr>
        <w:numPr>
          <w:ilvl w:val="0"/>
          <w:numId w:val="5"/>
        </w:numPr>
        <w:contextualSpacing/>
        <w:rPr>
          <w:lang w:val="en-GB"/>
        </w:rPr>
      </w:pPr>
      <w:r w:rsidRPr="007157A6">
        <w:rPr>
          <w:lang w:val="en-GB"/>
        </w:rPr>
        <w:t xml:space="preserve">How can the </w:t>
      </w:r>
      <w:r w:rsidR="00396D4C" w:rsidRPr="007157A6">
        <w:rPr>
          <w:lang w:val="en-GB"/>
        </w:rPr>
        <w:t>amount</w:t>
      </w:r>
      <w:r w:rsidRPr="007157A6">
        <w:rPr>
          <w:lang w:val="en-GB"/>
        </w:rPr>
        <w:t xml:space="preserve"> of sustainable projects and activities eligible for financing be increased?</w:t>
      </w:r>
    </w:p>
    <w:p w14:paraId="1A22EB58" w14:textId="77777777" w:rsidR="007157A6" w:rsidRPr="007157A6" w:rsidRDefault="007157A6" w:rsidP="007157A6">
      <w:pPr>
        <w:ind w:left="720"/>
        <w:contextualSpacing/>
        <w:rPr>
          <w:lang w:val="en-GB"/>
        </w:rPr>
      </w:pPr>
      <w:r w:rsidRPr="007157A6">
        <w:rPr>
          <w:noProof/>
          <w:lang w:eastAsia="de-DE"/>
        </w:rPr>
        <mc:AlternateContent>
          <mc:Choice Requires="wps">
            <w:drawing>
              <wp:anchor distT="0" distB="0" distL="114300" distR="114300" simplePos="0" relativeHeight="251669504" behindDoc="0" locked="0" layoutInCell="1" allowOverlap="1" wp14:anchorId="1C2935AE" wp14:editId="73FD0702">
                <wp:simplePos x="0" y="0"/>
                <wp:positionH relativeFrom="column">
                  <wp:posOffset>0</wp:posOffset>
                </wp:positionH>
                <wp:positionV relativeFrom="paragraph">
                  <wp:posOffset>66675</wp:posOffset>
                </wp:positionV>
                <wp:extent cx="4460240" cy="254000"/>
                <wp:effectExtent l="0" t="0" r="16510" b="1270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34F31FF4"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39F0" id="_x0000_s1034" type="#_x0000_t202" style="position:absolute;left:0;text-align:left;margin-left:0;margin-top:5.25pt;width:351.2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48AB3D46" w14:textId="77777777" w:rsidR="007157A6" w:rsidRPr="007157A6" w:rsidRDefault="007157A6" w:rsidP="007157A6">
      <w:pPr>
        <w:rPr>
          <w:b/>
          <w:sz w:val="28"/>
          <w:lang w:val="en-GB"/>
        </w:rPr>
      </w:pPr>
    </w:p>
    <w:p w14:paraId="6C5A8A02" w14:textId="77777777" w:rsidR="007157A6" w:rsidRPr="007157A6" w:rsidRDefault="007157A6" w:rsidP="00396D4C">
      <w:pPr>
        <w:pBdr>
          <w:bottom w:val="single" w:sz="4" w:space="1" w:color="auto"/>
        </w:pBdr>
        <w:rPr>
          <w:b/>
          <w:sz w:val="28"/>
          <w:lang w:val="en-GB"/>
        </w:rPr>
      </w:pPr>
      <w:r w:rsidRPr="007157A6">
        <w:rPr>
          <w:b/>
          <w:sz w:val="28"/>
          <w:lang w:val="en-GB"/>
        </w:rPr>
        <w:t>G</w:t>
      </w:r>
      <w:r w:rsidR="00396D4C">
        <w:rPr>
          <w:b/>
          <w:sz w:val="28"/>
          <w:lang w:val="en-GB"/>
        </w:rPr>
        <w:t>overnance and Incentive Systems</w:t>
      </w:r>
    </w:p>
    <w:p w14:paraId="686D57EC"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3B03D274" w14:textId="77777777" w:rsidTr="00C850ED">
        <w:tc>
          <w:tcPr>
            <w:tcW w:w="8642" w:type="dxa"/>
            <w:shd w:val="clear" w:color="auto" w:fill="D9D9D9" w:themeFill="background1" w:themeFillShade="D9"/>
          </w:tcPr>
          <w:p w14:paraId="45D2F9D6"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49C75F4F"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00A02801"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1B2B5AB9"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69443310"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7867D991"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431295A6" w14:textId="77777777" w:rsidR="007157A6" w:rsidRPr="007157A6" w:rsidRDefault="007157A6" w:rsidP="007157A6">
            <w:pPr>
              <w:rPr>
                <w:b/>
                <w:lang w:val="en-GB"/>
              </w:rPr>
            </w:pPr>
            <w:r w:rsidRPr="007157A6">
              <w:rPr>
                <w:b/>
                <w:lang w:val="en-GB"/>
              </w:rPr>
              <w:t>1</w:t>
            </w:r>
          </w:p>
        </w:tc>
      </w:tr>
      <w:tr w:rsidR="007157A6" w:rsidRPr="007157A6" w14:paraId="6D23AE25" w14:textId="77777777" w:rsidTr="00C850ED">
        <w:tc>
          <w:tcPr>
            <w:tcW w:w="8642" w:type="dxa"/>
            <w:vMerge w:val="restart"/>
          </w:tcPr>
          <w:p w14:paraId="1CAD7B1E" w14:textId="77777777" w:rsidR="007157A6" w:rsidRPr="007157A6" w:rsidRDefault="007157A6" w:rsidP="007157A6">
            <w:pPr>
              <w:rPr>
                <w:lang w:val="en-GB"/>
              </w:rPr>
            </w:pPr>
            <w:r w:rsidRPr="007157A6">
              <w:rPr>
                <w:lang w:val="en-GB"/>
              </w:rPr>
              <w:t>The German federal government should push for measures to internalise external costs and effectively flesh out supplementary policies so that the financial market can allocate funds efficiently.</w:t>
            </w:r>
          </w:p>
        </w:tc>
        <w:tc>
          <w:tcPr>
            <w:tcW w:w="3544" w:type="dxa"/>
          </w:tcPr>
          <w:p w14:paraId="4658F29C" w14:textId="77777777" w:rsidR="007157A6" w:rsidRPr="007157A6" w:rsidRDefault="007157A6" w:rsidP="007157A6">
            <w:pPr>
              <w:rPr>
                <w:lang w:val="en-GB"/>
              </w:rPr>
            </w:pPr>
            <w:r w:rsidRPr="007157A6">
              <w:rPr>
                <w:lang w:val="en-GB"/>
              </w:rPr>
              <w:t>Will foster Sustainable Finance in Germany</w:t>
            </w:r>
          </w:p>
        </w:tc>
        <w:tc>
          <w:tcPr>
            <w:tcW w:w="418" w:type="dxa"/>
          </w:tcPr>
          <w:p w14:paraId="5D6013CD" w14:textId="77777777" w:rsidR="007157A6" w:rsidRPr="007157A6" w:rsidRDefault="007157A6" w:rsidP="007157A6">
            <w:pPr>
              <w:rPr>
                <w:lang w:val="en-GB"/>
              </w:rPr>
            </w:pPr>
          </w:p>
        </w:tc>
        <w:tc>
          <w:tcPr>
            <w:tcW w:w="418" w:type="dxa"/>
          </w:tcPr>
          <w:p w14:paraId="49E4841A" w14:textId="77777777" w:rsidR="007157A6" w:rsidRPr="007157A6" w:rsidRDefault="007157A6" w:rsidP="007157A6">
            <w:pPr>
              <w:rPr>
                <w:lang w:val="en-GB"/>
              </w:rPr>
            </w:pPr>
          </w:p>
        </w:tc>
        <w:tc>
          <w:tcPr>
            <w:tcW w:w="418" w:type="dxa"/>
          </w:tcPr>
          <w:p w14:paraId="5EACB11C" w14:textId="77777777" w:rsidR="007157A6" w:rsidRPr="007157A6" w:rsidRDefault="007157A6" w:rsidP="007157A6">
            <w:pPr>
              <w:rPr>
                <w:lang w:val="en-GB"/>
              </w:rPr>
            </w:pPr>
          </w:p>
        </w:tc>
        <w:tc>
          <w:tcPr>
            <w:tcW w:w="418" w:type="dxa"/>
          </w:tcPr>
          <w:p w14:paraId="22136CF2" w14:textId="77777777" w:rsidR="007157A6" w:rsidRPr="007157A6" w:rsidRDefault="007157A6" w:rsidP="007157A6">
            <w:pPr>
              <w:rPr>
                <w:lang w:val="en-GB"/>
              </w:rPr>
            </w:pPr>
          </w:p>
        </w:tc>
        <w:tc>
          <w:tcPr>
            <w:tcW w:w="419" w:type="dxa"/>
          </w:tcPr>
          <w:p w14:paraId="5E47375C" w14:textId="77777777" w:rsidR="007157A6" w:rsidRPr="007157A6" w:rsidRDefault="007157A6" w:rsidP="007157A6">
            <w:pPr>
              <w:rPr>
                <w:lang w:val="en-GB"/>
              </w:rPr>
            </w:pPr>
          </w:p>
        </w:tc>
      </w:tr>
      <w:tr w:rsidR="007157A6" w:rsidRPr="007157A6" w14:paraId="645CA202" w14:textId="77777777" w:rsidTr="00C850ED">
        <w:tc>
          <w:tcPr>
            <w:tcW w:w="8642" w:type="dxa"/>
            <w:vMerge/>
          </w:tcPr>
          <w:p w14:paraId="0CDCA699" w14:textId="77777777" w:rsidR="007157A6" w:rsidRPr="007157A6" w:rsidRDefault="007157A6" w:rsidP="007157A6">
            <w:pPr>
              <w:rPr>
                <w:lang w:val="en-GB"/>
              </w:rPr>
            </w:pPr>
          </w:p>
        </w:tc>
        <w:tc>
          <w:tcPr>
            <w:tcW w:w="3544" w:type="dxa"/>
          </w:tcPr>
          <w:p w14:paraId="07EFF774" w14:textId="77777777" w:rsidR="007157A6" w:rsidRPr="007157A6" w:rsidRDefault="007157A6" w:rsidP="007157A6">
            <w:pPr>
              <w:rPr>
                <w:lang w:val="en-GB"/>
              </w:rPr>
            </w:pPr>
            <w:r w:rsidRPr="007157A6">
              <w:rPr>
                <w:lang w:val="en-GB"/>
              </w:rPr>
              <w:t>Level of ambition</w:t>
            </w:r>
          </w:p>
        </w:tc>
        <w:tc>
          <w:tcPr>
            <w:tcW w:w="418" w:type="dxa"/>
          </w:tcPr>
          <w:p w14:paraId="1BF4D5A4" w14:textId="77777777" w:rsidR="007157A6" w:rsidRPr="007157A6" w:rsidRDefault="007157A6" w:rsidP="007157A6">
            <w:pPr>
              <w:rPr>
                <w:lang w:val="en-GB"/>
              </w:rPr>
            </w:pPr>
          </w:p>
        </w:tc>
        <w:tc>
          <w:tcPr>
            <w:tcW w:w="418" w:type="dxa"/>
          </w:tcPr>
          <w:p w14:paraId="1AB4A668" w14:textId="77777777" w:rsidR="007157A6" w:rsidRPr="007157A6" w:rsidRDefault="007157A6" w:rsidP="007157A6">
            <w:pPr>
              <w:rPr>
                <w:lang w:val="en-GB"/>
              </w:rPr>
            </w:pPr>
          </w:p>
        </w:tc>
        <w:tc>
          <w:tcPr>
            <w:tcW w:w="418" w:type="dxa"/>
          </w:tcPr>
          <w:p w14:paraId="1F60B59B" w14:textId="77777777" w:rsidR="007157A6" w:rsidRPr="007157A6" w:rsidRDefault="007157A6" w:rsidP="007157A6">
            <w:pPr>
              <w:rPr>
                <w:lang w:val="en-GB"/>
              </w:rPr>
            </w:pPr>
          </w:p>
        </w:tc>
        <w:tc>
          <w:tcPr>
            <w:tcW w:w="418" w:type="dxa"/>
          </w:tcPr>
          <w:p w14:paraId="5C23BC45" w14:textId="77777777" w:rsidR="007157A6" w:rsidRPr="007157A6" w:rsidRDefault="007157A6" w:rsidP="007157A6">
            <w:pPr>
              <w:rPr>
                <w:lang w:val="en-GB"/>
              </w:rPr>
            </w:pPr>
          </w:p>
        </w:tc>
        <w:tc>
          <w:tcPr>
            <w:tcW w:w="419" w:type="dxa"/>
          </w:tcPr>
          <w:p w14:paraId="61FA8F69" w14:textId="77777777" w:rsidR="007157A6" w:rsidRPr="007157A6" w:rsidRDefault="007157A6" w:rsidP="007157A6">
            <w:pPr>
              <w:rPr>
                <w:lang w:val="en-GB"/>
              </w:rPr>
            </w:pPr>
          </w:p>
        </w:tc>
      </w:tr>
      <w:tr w:rsidR="007157A6" w:rsidRPr="007157A6" w14:paraId="19E30A20" w14:textId="77777777" w:rsidTr="00C850ED">
        <w:tc>
          <w:tcPr>
            <w:tcW w:w="8642" w:type="dxa"/>
            <w:vMerge/>
          </w:tcPr>
          <w:p w14:paraId="50C01206" w14:textId="77777777" w:rsidR="007157A6" w:rsidRPr="007157A6" w:rsidRDefault="007157A6" w:rsidP="007157A6">
            <w:pPr>
              <w:rPr>
                <w:lang w:val="en-GB"/>
              </w:rPr>
            </w:pPr>
          </w:p>
        </w:tc>
        <w:tc>
          <w:tcPr>
            <w:tcW w:w="3544" w:type="dxa"/>
          </w:tcPr>
          <w:p w14:paraId="73804E36" w14:textId="77777777" w:rsidR="007157A6" w:rsidRPr="007157A6" w:rsidRDefault="007157A6" w:rsidP="007157A6">
            <w:pPr>
              <w:rPr>
                <w:lang w:val="en-GB"/>
              </w:rPr>
            </w:pPr>
            <w:r w:rsidRPr="007157A6">
              <w:rPr>
                <w:lang w:val="en-GB"/>
              </w:rPr>
              <w:t>Practicability</w:t>
            </w:r>
          </w:p>
        </w:tc>
        <w:tc>
          <w:tcPr>
            <w:tcW w:w="418" w:type="dxa"/>
          </w:tcPr>
          <w:p w14:paraId="1C456C40" w14:textId="77777777" w:rsidR="007157A6" w:rsidRPr="007157A6" w:rsidRDefault="007157A6" w:rsidP="007157A6">
            <w:pPr>
              <w:rPr>
                <w:lang w:val="en-GB"/>
              </w:rPr>
            </w:pPr>
          </w:p>
        </w:tc>
        <w:tc>
          <w:tcPr>
            <w:tcW w:w="418" w:type="dxa"/>
          </w:tcPr>
          <w:p w14:paraId="2E5685D4" w14:textId="77777777" w:rsidR="007157A6" w:rsidRPr="007157A6" w:rsidRDefault="007157A6" w:rsidP="007157A6">
            <w:pPr>
              <w:rPr>
                <w:lang w:val="en-GB"/>
              </w:rPr>
            </w:pPr>
          </w:p>
        </w:tc>
        <w:tc>
          <w:tcPr>
            <w:tcW w:w="418" w:type="dxa"/>
          </w:tcPr>
          <w:p w14:paraId="4858E0CB" w14:textId="77777777" w:rsidR="007157A6" w:rsidRPr="007157A6" w:rsidRDefault="007157A6" w:rsidP="007157A6">
            <w:pPr>
              <w:rPr>
                <w:lang w:val="en-GB"/>
              </w:rPr>
            </w:pPr>
          </w:p>
        </w:tc>
        <w:tc>
          <w:tcPr>
            <w:tcW w:w="418" w:type="dxa"/>
          </w:tcPr>
          <w:p w14:paraId="14B4B03A" w14:textId="77777777" w:rsidR="007157A6" w:rsidRPr="007157A6" w:rsidRDefault="007157A6" w:rsidP="007157A6">
            <w:pPr>
              <w:rPr>
                <w:lang w:val="en-GB"/>
              </w:rPr>
            </w:pPr>
          </w:p>
        </w:tc>
        <w:tc>
          <w:tcPr>
            <w:tcW w:w="419" w:type="dxa"/>
          </w:tcPr>
          <w:p w14:paraId="72D96ACC" w14:textId="77777777" w:rsidR="007157A6" w:rsidRPr="007157A6" w:rsidRDefault="007157A6" w:rsidP="007157A6">
            <w:pPr>
              <w:rPr>
                <w:lang w:val="en-GB"/>
              </w:rPr>
            </w:pPr>
          </w:p>
        </w:tc>
      </w:tr>
      <w:tr w:rsidR="007157A6" w:rsidRPr="007157A6" w14:paraId="7270CAB9" w14:textId="77777777" w:rsidTr="00C850ED">
        <w:tc>
          <w:tcPr>
            <w:tcW w:w="8642" w:type="dxa"/>
            <w:vMerge/>
          </w:tcPr>
          <w:p w14:paraId="36082466" w14:textId="77777777" w:rsidR="007157A6" w:rsidRPr="007157A6" w:rsidRDefault="007157A6" w:rsidP="007157A6">
            <w:pPr>
              <w:rPr>
                <w:lang w:val="en-GB"/>
              </w:rPr>
            </w:pPr>
          </w:p>
        </w:tc>
        <w:tc>
          <w:tcPr>
            <w:tcW w:w="3544" w:type="dxa"/>
          </w:tcPr>
          <w:p w14:paraId="71692E6D"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B26EF7A" w14:textId="77777777" w:rsidR="007157A6" w:rsidRPr="007157A6" w:rsidRDefault="007157A6" w:rsidP="007157A6">
            <w:pPr>
              <w:rPr>
                <w:lang w:val="en-GB"/>
              </w:rPr>
            </w:pPr>
          </w:p>
        </w:tc>
        <w:tc>
          <w:tcPr>
            <w:tcW w:w="418" w:type="dxa"/>
          </w:tcPr>
          <w:p w14:paraId="4FBDFA1B" w14:textId="77777777" w:rsidR="007157A6" w:rsidRPr="007157A6" w:rsidRDefault="007157A6" w:rsidP="007157A6">
            <w:pPr>
              <w:rPr>
                <w:lang w:val="en-GB"/>
              </w:rPr>
            </w:pPr>
          </w:p>
        </w:tc>
        <w:tc>
          <w:tcPr>
            <w:tcW w:w="418" w:type="dxa"/>
          </w:tcPr>
          <w:p w14:paraId="4630AF1B" w14:textId="77777777" w:rsidR="007157A6" w:rsidRPr="007157A6" w:rsidRDefault="007157A6" w:rsidP="007157A6">
            <w:pPr>
              <w:rPr>
                <w:lang w:val="en-GB"/>
              </w:rPr>
            </w:pPr>
          </w:p>
        </w:tc>
        <w:tc>
          <w:tcPr>
            <w:tcW w:w="418" w:type="dxa"/>
          </w:tcPr>
          <w:p w14:paraId="54BA7BB8" w14:textId="77777777" w:rsidR="007157A6" w:rsidRPr="007157A6" w:rsidRDefault="007157A6" w:rsidP="007157A6">
            <w:pPr>
              <w:rPr>
                <w:lang w:val="en-GB"/>
              </w:rPr>
            </w:pPr>
          </w:p>
        </w:tc>
        <w:tc>
          <w:tcPr>
            <w:tcW w:w="419" w:type="dxa"/>
          </w:tcPr>
          <w:p w14:paraId="112924AD" w14:textId="77777777" w:rsidR="007157A6" w:rsidRPr="007157A6" w:rsidRDefault="007157A6" w:rsidP="007157A6">
            <w:pPr>
              <w:rPr>
                <w:lang w:val="en-GB"/>
              </w:rPr>
            </w:pPr>
          </w:p>
        </w:tc>
      </w:tr>
      <w:tr w:rsidR="007157A6" w:rsidRPr="007157A6" w14:paraId="74E89D3B" w14:textId="77777777" w:rsidTr="00C850ED">
        <w:tc>
          <w:tcPr>
            <w:tcW w:w="8642" w:type="dxa"/>
            <w:shd w:val="clear" w:color="auto" w:fill="D9D9D9" w:themeFill="background1" w:themeFillShade="D9"/>
          </w:tcPr>
          <w:p w14:paraId="6C1E1F27"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A9E166C"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DCF25CA"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EE9C08E"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88CB8F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09A0AA1C"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73AAA77F" w14:textId="77777777" w:rsidR="007157A6" w:rsidRPr="007157A6" w:rsidRDefault="007157A6" w:rsidP="007157A6">
            <w:pPr>
              <w:rPr>
                <w:lang w:val="en-GB"/>
              </w:rPr>
            </w:pPr>
            <w:r w:rsidRPr="007157A6">
              <w:rPr>
                <w:b/>
                <w:lang w:val="en-GB"/>
              </w:rPr>
              <w:t>1</w:t>
            </w:r>
          </w:p>
        </w:tc>
      </w:tr>
      <w:tr w:rsidR="007157A6" w:rsidRPr="007157A6" w14:paraId="546CE45E" w14:textId="77777777" w:rsidTr="00C850ED">
        <w:tc>
          <w:tcPr>
            <w:tcW w:w="8642" w:type="dxa"/>
            <w:vMerge w:val="restart"/>
          </w:tcPr>
          <w:p w14:paraId="1AE4E86E" w14:textId="77777777" w:rsidR="007157A6" w:rsidRPr="007157A6" w:rsidRDefault="007157A6" w:rsidP="007157A6">
            <w:pPr>
              <w:rPr>
                <w:lang w:val="en-GB"/>
              </w:rPr>
            </w:pPr>
            <w:r w:rsidRPr="007157A6">
              <w:rPr>
                <w:lang w:val="en-GB"/>
              </w:rPr>
              <w:t>Support the EU Commission in the design of climate-focused taxes, emissions trading and fees aimed at achieving effective carbon leakage protection, even in the face of high CO2 prices and the full steering effect in the value chain.</w:t>
            </w:r>
          </w:p>
        </w:tc>
        <w:tc>
          <w:tcPr>
            <w:tcW w:w="3544" w:type="dxa"/>
          </w:tcPr>
          <w:p w14:paraId="5AB59183" w14:textId="77777777" w:rsidR="007157A6" w:rsidRPr="007157A6" w:rsidRDefault="007157A6" w:rsidP="007157A6">
            <w:pPr>
              <w:rPr>
                <w:lang w:val="en-GB"/>
              </w:rPr>
            </w:pPr>
            <w:r w:rsidRPr="007157A6">
              <w:rPr>
                <w:lang w:val="en-GB"/>
              </w:rPr>
              <w:t>Will foster Sustainable Finance in Germany</w:t>
            </w:r>
          </w:p>
        </w:tc>
        <w:tc>
          <w:tcPr>
            <w:tcW w:w="418" w:type="dxa"/>
          </w:tcPr>
          <w:p w14:paraId="029C285C" w14:textId="77777777" w:rsidR="007157A6" w:rsidRPr="007157A6" w:rsidRDefault="007157A6" w:rsidP="007157A6">
            <w:pPr>
              <w:rPr>
                <w:lang w:val="en-GB"/>
              </w:rPr>
            </w:pPr>
          </w:p>
        </w:tc>
        <w:tc>
          <w:tcPr>
            <w:tcW w:w="418" w:type="dxa"/>
          </w:tcPr>
          <w:p w14:paraId="3BC4F5C3" w14:textId="77777777" w:rsidR="007157A6" w:rsidRPr="007157A6" w:rsidRDefault="007157A6" w:rsidP="007157A6">
            <w:pPr>
              <w:rPr>
                <w:lang w:val="en-GB"/>
              </w:rPr>
            </w:pPr>
          </w:p>
        </w:tc>
        <w:tc>
          <w:tcPr>
            <w:tcW w:w="418" w:type="dxa"/>
          </w:tcPr>
          <w:p w14:paraId="0E15175B" w14:textId="77777777" w:rsidR="007157A6" w:rsidRPr="007157A6" w:rsidRDefault="007157A6" w:rsidP="007157A6">
            <w:pPr>
              <w:rPr>
                <w:lang w:val="en-GB"/>
              </w:rPr>
            </w:pPr>
          </w:p>
        </w:tc>
        <w:tc>
          <w:tcPr>
            <w:tcW w:w="418" w:type="dxa"/>
          </w:tcPr>
          <w:p w14:paraId="5A2DBC8C" w14:textId="77777777" w:rsidR="007157A6" w:rsidRPr="007157A6" w:rsidRDefault="007157A6" w:rsidP="007157A6">
            <w:pPr>
              <w:rPr>
                <w:lang w:val="en-GB"/>
              </w:rPr>
            </w:pPr>
          </w:p>
        </w:tc>
        <w:tc>
          <w:tcPr>
            <w:tcW w:w="419" w:type="dxa"/>
          </w:tcPr>
          <w:p w14:paraId="27A7336F" w14:textId="77777777" w:rsidR="007157A6" w:rsidRPr="007157A6" w:rsidRDefault="007157A6" w:rsidP="007157A6">
            <w:pPr>
              <w:rPr>
                <w:lang w:val="en-GB"/>
              </w:rPr>
            </w:pPr>
          </w:p>
        </w:tc>
      </w:tr>
      <w:tr w:rsidR="007157A6" w:rsidRPr="007157A6" w14:paraId="2B1F6927" w14:textId="77777777" w:rsidTr="00C850ED">
        <w:tc>
          <w:tcPr>
            <w:tcW w:w="8642" w:type="dxa"/>
            <w:vMerge/>
          </w:tcPr>
          <w:p w14:paraId="7081C914" w14:textId="77777777" w:rsidR="007157A6" w:rsidRPr="007157A6" w:rsidRDefault="007157A6" w:rsidP="007157A6">
            <w:pPr>
              <w:rPr>
                <w:lang w:val="en-GB"/>
              </w:rPr>
            </w:pPr>
          </w:p>
        </w:tc>
        <w:tc>
          <w:tcPr>
            <w:tcW w:w="3544" w:type="dxa"/>
          </w:tcPr>
          <w:p w14:paraId="3E0C09CA" w14:textId="77777777" w:rsidR="007157A6" w:rsidRPr="007157A6" w:rsidRDefault="007157A6" w:rsidP="007157A6">
            <w:pPr>
              <w:rPr>
                <w:lang w:val="en-GB"/>
              </w:rPr>
            </w:pPr>
            <w:r w:rsidRPr="007157A6">
              <w:rPr>
                <w:lang w:val="en-GB"/>
              </w:rPr>
              <w:t>Level of ambition</w:t>
            </w:r>
          </w:p>
        </w:tc>
        <w:tc>
          <w:tcPr>
            <w:tcW w:w="418" w:type="dxa"/>
          </w:tcPr>
          <w:p w14:paraId="6EE0583B" w14:textId="77777777" w:rsidR="007157A6" w:rsidRPr="007157A6" w:rsidRDefault="007157A6" w:rsidP="007157A6">
            <w:pPr>
              <w:rPr>
                <w:lang w:val="en-GB"/>
              </w:rPr>
            </w:pPr>
          </w:p>
        </w:tc>
        <w:tc>
          <w:tcPr>
            <w:tcW w:w="418" w:type="dxa"/>
          </w:tcPr>
          <w:p w14:paraId="2FA5C513" w14:textId="77777777" w:rsidR="007157A6" w:rsidRPr="007157A6" w:rsidRDefault="007157A6" w:rsidP="007157A6">
            <w:pPr>
              <w:rPr>
                <w:lang w:val="en-GB"/>
              </w:rPr>
            </w:pPr>
          </w:p>
        </w:tc>
        <w:tc>
          <w:tcPr>
            <w:tcW w:w="418" w:type="dxa"/>
          </w:tcPr>
          <w:p w14:paraId="05862446" w14:textId="77777777" w:rsidR="007157A6" w:rsidRPr="007157A6" w:rsidRDefault="007157A6" w:rsidP="007157A6">
            <w:pPr>
              <w:rPr>
                <w:lang w:val="en-GB"/>
              </w:rPr>
            </w:pPr>
          </w:p>
        </w:tc>
        <w:tc>
          <w:tcPr>
            <w:tcW w:w="418" w:type="dxa"/>
          </w:tcPr>
          <w:p w14:paraId="062A5804" w14:textId="77777777" w:rsidR="007157A6" w:rsidRPr="007157A6" w:rsidRDefault="007157A6" w:rsidP="007157A6">
            <w:pPr>
              <w:rPr>
                <w:lang w:val="en-GB"/>
              </w:rPr>
            </w:pPr>
          </w:p>
        </w:tc>
        <w:tc>
          <w:tcPr>
            <w:tcW w:w="419" w:type="dxa"/>
          </w:tcPr>
          <w:p w14:paraId="217F48FA" w14:textId="77777777" w:rsidR="007157A6" w:rsidRPr="007157A6" w:rsidRDefault="007157A6" w:rsidP="007157A6">
            <w:pPr>
              <w:rPr>
                <w:lang w:val="en-GB"/>
              </w:rPr>
            </w:pPr>
          </w:p>
        </w:tc>
      </w:tr>
      <w:tr w:rsidR="007157A6" w:rsidRPr="007157A6" w14:paraId="68AC94C6" w14:textId="77777777" w:rsidTr="00C850ED">
        <w:tc>
          <w:tcPr>
            <w:tcW w:w="8642" w:type="dxa"/>
            <w:vMerge/>
          </w:tcPr>
          <w:p w14:paraId="6F11B7D6" w14:textId="77777777" w:rsidR="007157A6" w:rsidRPr="007157A6" w:rsidRDefault="007157A6" w:rsidP="007157A6">
            <w:pPr>
              <w:rPr>
                <w:lang w:val="en-GB"/>
              </w:rPr>
            </w:pPr>
          </w:p>
        </w:tc>
        <w:tc>
          <w:tcPr>
            <w:tcW w:w="3544" w:type="dxa"/>
          </w:tcPr>
          <w:p w14:paraId="15C66F33" w14:textId="77777777" w:rsidR="007157A6" w:rsidRPr="007157A6" w:rsidRDefault="007157A6" w:rsidP="007157A6">
            <w:pPr>
              <w:rPr>
                <w:lang w:val="en-GB"/>
              </w:rPr>
            </w:pPr>
            <w:r w:rsidRPr="007157A6">
              <w:rPr>
                <w:lang w:val="en-GB"/>
              </w:rPr>
              <w:t>Practicability</w:t>
            </w:r>
          </w:p>
        </w:tc>
        <w:tc>
          <w:tcPr>
            <w:tcW w:w="418" w:type="dxa"/>
          </w:tcPr>
          <w:p w14:paraId="78A4C513" w14:textId="77777777" w:rsidR="007157A6" w:rsidRPr="007157A6" w:rsidRDefault="007157A6" w:rsidP="007157A6">
            <w:pPr>
              <w:rPr>
                <w:lang w:val="en-GB"/>
              </w:rPr>
            </w:pPr>
          </w:p>
        </w:tc>
        <w:tc>
          <w:tcPr>
            <w:tcW w:w="418" w:type="dxa"/>
          </w:tcPr>
          <w:p w14:paraId="64296A07" w14:textId="77777777" w:rsidR="007157A6" w:rsidRPr="007157A6" w:rsidRDefault="007157A6" w:rsidP="007157A6">
            <w:pPr>
              <w:rPr>
                <w:lang w:val="en-GB"/>
              </w:rPr>
            </w:pPr>
          </w:p>
        </w:tc>
        <w:tc>
          <w:tcPr>
            <w:tcW w:w="418" w:type="dxa"/>
          </w:tcPr>
          <w:p w14:paraId="23D57FC3" w14:textId="77777777" w:rsidR="007157A6" w:rsidRPr="007157A6" w:rsidRDefault="007157A6" w:rsidP="007157A6">
            <w:pPr>
              <w:rPr>
                <w:lang w:val="en-GB"/>
              </w:rPr>
            </w:pPr>
          </w:p>
        </w:tc>
        <w:tc>
          <w:tcPr>
            <w:tcW w:w="418" w:type="dxa"/>
          </w:tcPr>
          <w:p w14:paraId="509320EC" w14:textId="77777777" w:rsidR="007157A6" w:rsidRPr="007157A6" w:rsidRDefault="007157A6" w:rsidP="007157A6">
            <w:pPr>
              <w:rPr>
                <w:lang w:val="en-GB"/>
              </w:rPr>
            </w:pPr>
          </w:p>
        </w:tc>
        <w:tc>
          <w:tcPr>
            <w:tcW w:w="419" w:type="dxa"/>
          </w:tcPr>
          <w:p w14:paraId="3762E9B5" w14:textId="77777777" w:rsidR="007157A6" w:rsidRPr="007157A6" w:rsidRDefault="007157A6" w:rsidP="007157A6">
            <w:pPr>
              <w:rPr>
                <w:lang w:val="en-GB"/>
              </w:rPr>
            </w:pPr>
          </w:p>
        </w:tc>
      </w:tr>
      <w:tr w:rsidR="007157A6" w:rsidRPr="007157A6" w14:paraId="7BB92A80" w14:textId="77777777" w:rsidTr="00C850ED">
        <w:tc>
          <w:tcPr>
            <w:tcW w:w="8642" w:type="dxa"/>
            <w:vMerge/>
          </w:tcPr>
          <w:p w14:paraId="3FD46FD5" w14:textId="77777777" w:rsidR="007157A6" w:rsidRPr="007157A6" w:rsidRDefault="007157A6" w:rsidP="007157A6">
            <w:pPr>
              <w:rPr>
                <w:lang w:val="en-GB"/>
              </w:rPr>
            </w:pPr>
          </w:p>
        </w:tc>
        <w:tc>
          <w:tcPr>
            <w:tcW w:w="3544" w:type="dxa"/>
          </w:tcPr>
          <w:p w14:paraId="53D31A8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4AE0A01" w14:textId="77777777" w:rsidR="007157A6" w:rsidRPr="007157A6" w:rsidRDefault="007157A6" w:rsidP="007157A6">
            <w:pPr>
              <w:rPr>
                <w:lang w:val="en-GB"/>
              </w:rPr>
            </w:pPr>
          </w:p>
        </w:tc>
        <w:tc>
          <w:tcPr>
            <w:tcW w:w="418" w:type="dxa"/>
          </w:tcPr>
          <w:p w14:paraId="03C2BB75" w14:textId="77777777" w:rsidR="007157A6" w:rsidRPr="007157A6" w:rsidRDefault="007157A6" w:rsidP="007157A6">
            <w:pPr>
              <w:rPr>
                <w:lang w:val="en-GB"/>
              </w:rPr>
            </w:pPr>
          </w:p>
        </w:tc>
        <w:tc>
          <w:tcPr>
            <w:tcW w:w="418" w:type="dxa"/>
          </w:tcPr>
          <w:p w14:paraId="609E2AFA" w14:textId="77777777" w:rsidR="007157A6" w:rsidRPr="007157A6" w:rsidRDefault="007157A6" w:rsidP="007157A6">
            <w:pPr>
              <w:rPr>
                <w:lang w:val="en-GB"/>
              </w:rPr>
            </w:pPr>
          </w:p>
        </w:tc>
        <w:tc>
          <w:tcPr>
            <w:tcW w:w="418" w:type="dxa"/>
          </w:tcPr>
          <w:p w14:paraId="2EE3B0DB" w14:textId="77777777" w:rsidR="007157A6" w:rsidRPr="007157A6" w:rsidRDefault="007157A6" w:rsidP="007157A6">
            <w:pPr>
              <w:rPr>
                <w:lang w:val="en-GB"/>
              </w:rPr>
            </w:pPr>
          </w:p>
        </w:tc>
        <w:tc>
          <w:tcPr>
            <w:tcW w:w="419" w:type="dxa"/>
          </w:tcPr>
          <w:p w14:paraId="70049AF2" w14:textId="77777777" w:rsidR="007157A6" w:rsidRPr="007157A6" w:rsidRDefault="007157A6" w:rsidP="007157A6">
            <w:pPr>
              <w:rPr>
                <w:lang w:val="en-GB"/>
              </w:rPr>
            </w:pPr>
          </w:p>
        </w:tc>
      </w:tr>
      <w:tr w:rsidR="007157A6" w:rsidRPr="007157A6" w14:paraId="33BF0AFD" w14:textId="77777777" w:rsidTr="00C850ED">
        <w:tc>
          <w:tcPr>
            <w:tcW w:w="8642" w:type="dxa"/>
            <w:shd w:val="clear" w:color="auto" w:fill="D9D9D9" w:themeFill="background1" w:themeFillShade="D9"/>
          </w:tcPr>
          <w:p w14:paraId="09A0629F"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68F41373"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69B0AA0"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34F392E3"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F56E48E"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438B1079"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4903D995" w14:textId="77777777" w:rsidR="007157A6" w:rsidRPr="007157A6" w:rsidRDefault="007157A6" w:rsidP="007157A6">
            <w:pPr>
              <w:rPr>
                <w:lang w:val="en-GB"/>
              </w:rPr>
            </w:pPr>
            <w:r w:rsidRPr="007157A6">
              <w:rPr>
                <w:b/>
                <w:lang w:val="en-GB"/>
              </w:rPr>
              <w:t>1</w:t>
            </w:r>
          </w:p>
        </w:tc>
      </w:tr>
      <w:tr w:rsidR="007157A6" w:rsidRPr="007157A6" w14:paraId="62B8EEC2" w14:textId="77777777" w:rsidTr="00C850ED">
        <w:trPr>
          <w:trHeight w:val="537"/>
        </w:trPr>
        <w:tc>
          <w:tcPr>
            <w:tcW w:w="8642" w:type="dxa"/>
            <w:vMerge w:val="restart"/>
          </w:tcPr>
          <w:p w14:paraId="431547EE" w14:textId="77777777" w:rsidR="007157A6" w:rsidRPr="007157A6" w:rsidRDefault="007157A6" w:rsidP="007157A6">
            <w:pPr>
              <w:rPr>
                <w:lang w:val="en-GB"/>
              </w:rPr>
            </w:pPr>
            <w:r w:rsidRPr="007157A6">
              <w:rPr>
                <w:lang w:val="en-GB"/>
              </w:rPr>
              <w:t xml:space="preserve">Conduct comprehensive, coherent analyses of governmental incentive mechanisms for the financial system. The design of existing subsidies, support programmes and other incentive structures requires both an appraisal of the status quo and ongoing evaluations of their effectiveness in achieving the sustainability goals. Mechanisms are to be expanded and </w:t>
            </w:r>
            <w:r w:rsidRPr="007157A6">
              <w:rPr>
                <w:lang w:val="en-GB"/>
              </w:rPr>
              <w:lastRenderedPageBreak/>
              <w:t>inconsistencies eliminated. This applies at the national level (federal, state, municipalities) as well as at the European level and internationally. The German federal government shall report on the findings.</w:t>
            </w:r>
          </w:p>
        </w:tc>
        <w:tc>
          <w:tcPr>
            <w:tcW w:w="3544" w:type="dxa"/>
          </w:tcPr>
          <w:p w14:paraId="22753BE5"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06879025" w14:textId="77777777" w:rsidR="007157A6" w:rsidRPr="007157A6" w:rsidRDefault="007157A6" w:rsidP="007157A6">
            <w:pPr>
              <w:rPr>
                <w:lang w:val="en-GB"/>
              </w:rPr>
            </w:pPr>
          </w:p>
        </w:tc>
        <w:tc>
          <w:tcPr>
            <w:tcW w:w="418" w:type="dxa"/>
          </w:tcPr>
          <w:p w14:paraId="19B187A7" w14:textId="77777777" w:rsidR="007157A6" w:rsidRPr="007157A6" w:rsidRDefault="007157A6" w:rsidP="007157A6">
            <w:pPr>
              <w:rPr>
                <w:lang w:val="en-GB"/>
              </w:rPr>
            </w:pPr>
          </w:p>
        </w:tc>
        <w:tc>
          <w:tcPr>
            <w:tcW w:w="418" w:type="dxa"/>
          </w:tcPr>
          <w:p w14:paraId="4AADCB96" w14:textId="77777777" w:rsidR="007157A6" w:rsidRPr="007157A6" w:rsidRDefault="007157A6" w:rsidP="007157A6">
            <w:pPr>
              <w:rPr>
                <w:lang w:val="en-GB"/>
              </w:rPr>
            </w:pPr>
          </w:p>
        </w:tc>
        <w:tc>
          <w:tcPr>
            <w:tcW w:w="418" w:type="dxa"/>
          </w:tcPr>
          <w:p w14:paraId="086822FF" w14:textId="77777777" w:rsidR="007157A6" w:rsidRPr="007157A6" w:rsidRDefault="007157A6" w:rsidP="007157A6">
            <w:pPr>
              <w:rPr>
                <w:lang w:val="en-GB"/>
              </w:rPr>
            </w:pPr>
          </w:p>
        </w:tc>
        <w:tc>
          <w:tcPr>
            <w:tcW w:w="419" w:type="dxa"/>
          </w:tcPr>
          <w:p w14:paraId="1E133A86" w14:textId="77777777" w:rsidR="007157A6" w:rsidRPr="007157A6" w:rsidRDefault="007157A6" w:rsidP="007157A6">
            <w:pPr>
              <w:rPr>
                <w:lang w:val="en-GB"/>
              </w:rPr>
            </w:pPr>
          </w:p>
        </w:tc>
      </w:tr>
      <w:tr w:rsidR="007157A6" w:rsidRPr="007157A6" w14:paraId="5810920F" w14:textId="77777777" w:rsidTr="00C850ED">
        <w:trPr>
          <w:trHeight w:val="537"/>
        </w:trPr>
        <w:tc>
          <w:tcPr>
            <w:tcW w:w="8642" w:type="dxa"/>
            <w:vMerge/>
          </w:tcPr>
          <w:p w14:paraId="6BAC7EA3" w14:textId="77777777" w:rsidR="007157A6" w:rsidRPr="007157A6" w:rsidRDefault="007157A6" w:rsidP="007157A6">
            <w:pPr>
              <w:rPr>
                <w:lang w:val="en-GB"/>
              </w:rPr>
            </w:pPr>
          </w:p>
        </w:tc>
        <w:tc>
          <w:tcPr>
            <w:tcW w:w="3544" w:type="dxa"/>
          </w:tcPr>
          <w:p w14:paraId="53831E36" w14:textId="77777777" w:rsidR="007157A6" w:rsidRPr="007157A6" w:rsidRDefault="007157A6" w:rsidP="007157A6">
            <w:pPr>
              <w:rPr>
                <w:lang w:val="en-GB"/>
              </w:rPr>
            </w:pPr>
            <w:r w:rsidRPr="007157A6">
              <w:rPr>
                <w:lang w:val="en-GB"/>
              </w:rPr>
              <w:t>Level of ambition</w:t>
            </w:r>
          </w:p>
        </w:tc>
        <w:tc>
          <w:tcPr>
            <w:tcW w:w="418" w:type="dxa"/>
          </w:tcPr>
          <w:p w14:paraId="682AE624" w14:textId="77777777" w:rsidR="007157A6" w:rsidRPr="007157A6" w:rsidRDefault="007157A6" w:rsidP="007157A6">
            <w:pPr>
              <w:rPr>
                <w:lang w:val="en-GB"/>
              </w:rPr>
            </w:pPr>
          </w:p>
        </w:tc>
        <w:tc>
          <w:tcPr>
            <w:tcW w:w="418" w:type="dxa"/>
          </w:tcPr>
          <w:p w14:paraId="50CBDBD4" w14:textId="77777777" w:rsidR="007157A6" w:rsidRPr="007157A6" w:rsidRDefault="007157A6" w:rsidP="007157A6">
            <w:pPr>
              <w:rPr>
                <w:lang w:val="en-GB"/>
              </w:rPr>
            </w:pPr>
          </w:p>
        </w:tc>
        <w:tc>
          <w:tcPr>
            <w:tcW w:w="418" w:type="dxa"/>
          </w:tcPr>
          <w:p w14:paraId="37BD2B4F" w14:textId="77777777" w:rsidR="007157A6" w:rsidRPr="007157A6" w:rsidRDefault="007157A6" w:rsidP="007157A6">
            <w:pPr>
              <w:rPr>
                <w:lang w:val="en-GB"/>
              </w:rPr>
            </w:pPr>
          </w:p>
        </w:tc>
        <w:tc>
          <w:tcPr>
            <w:tcW w:w="418" w:type="dxa"/>
          </w:tcPr>
          <w:p w14:paraId="6F3340A0" w14:textId="77777777" w:rsidR="007157A6" w:rsidRPr="007157A6" w:rsidRDefault="007157A6" w:rsidP="007157A6">
            <w:pPr>
              <w:rPr>
                <w:lang w:val="en-GB"/>
              </w:rPr>
            </w:pPr>
          </w:p>
        </w:tc>
        <w:tc>
          <w:tcPr>
            <w:tcW w:w="419" w:type="dxa"/>
          </w:tcPr>
          <w:p w14:paraId="1C432C8B" w14:textId="77777777" w:rsidR="007157A6" w:rsidRPr="007157A6" w:rsidRDefault="007157A6" w:rsidP="007157A6">
            <w:pPr>
              <w:rPr>
                <w:lang w:val="en-GB"/>
              </w:rPr>
            </w:pPr>
          </w:p>
        </w:tc>
      </w:tr>
      <w:tr w:rsidR="007157A6" w:rsidRPr="007157A6" w14:paraId="2C919E04" w14:textId="77777777" w:rsidTr="00C850ED">
        <w:trPr>
          <w:trHeight w:val="537"/>
        </w:trPr>
        <w:tc>
          <w:tcPr>
            <w:tcW w:w="8642" w:type="dxa"/>
            <w:vMerge/>
          </w:tcPr>
          <w:p w14:paraId="0EC020D2" w14:textId="77777777" w:rsidR="007157A6" w:rsidRPr="007157A6" w:rsidRDefault="007157A6" w:rsidP="007157A6">
            <w:pPr>
              <w:rPr>
                <w:lang w:val="en-GB"/>
              </w:rPr>
            </w:pPr>
          </w:p>
        </w:tc>
        <w:tc>
          <w:tcPr>
            <w:tcW w:w="3544" w:type="dxa"/>
          </w:tcPr>
          <w:p w14:paraId="7BB7C3D2" w14:textId="77777777" w:rsidR="007157A6" w:rsidRPr="007157A6" w:rsidRDefault="007157A6" w:rsidP="007157A6">
            <w:pPr>
              <w:rPr>
                <w:lang w:val="en-GB"/>
              </w:rPr>
            </w:pPr>
            <w:r w:rsidRPr="007157A6">
              <w:rPr>
                <w:lang w:val="en-GB"/>
              </w:rPr>
              <w:t>Practicability</w:t>
            </w:r>
          </w:p>
        </w:tc>
        <w:tc>
          <w:tcPr>
            <w:tcW w:w="418" w:type="dxa"/>
          </w:tcPr>
          <w:p w14:paraId="53E03D95" w14:textId="77777777" w:rsidR="007157A6" w:rsidRPr="007157A6" w:rsidRDefault="007157A6" w:rsidP="007157A6">
            <w:pPr>
              <w:rPr>
                <w:lang w:val="en-GB"/>
              </w:rPr>
            </w:pPr>
          </w:p>
        </w:tc>
        <w:tc>
          <w:tcPr>
            <w:tcW w:w="418" w:type="dxa"/>
          </w:tcPr>
          <w:p w14:paraId="5CA7655A" w14:textId="77777777" w:rsidR="007157A6" w:rsidRPr="007157A6" w:rsidRDefault="007157A6" w:rsidP="007157A6">
            <w:pPr>
              <w:rPr>
                <w:lang w:val="en-GB"/>
              </w:rPr>
            </w:pPr>
          </w:p>
        </w:tc>
        <w:tc>
          <w:tcPr>
            <w:tcW w:w="418" w:type="dxa"/>
          </w:tcPr>
          <w:p w14:paraId="1CE820F0" w14:textId="77777777" w:rsidR="007157A6" w:rsidRPr="007157A6" w:rsidRDefault="007157A6" w:rsidP="007157A6">
            <w:pPr>
              <w:rPr>
                <w:lang w:val="en-GB"/>
              </w:rPr>
            </w:pPr>
          </w:p>
        </w:tc>
        <w:tc>
          <w:tcPr>
            <w:tcW w:w="418" w:type="dxa"/>
          </w:tcPr>
          <w:p w14:paraId="1044589A" w14:textId="77777777" w:rsidR="007157A6" w:rsidRPr="007157A6" w:rsidRDefault="007157A6" w:rsidP="007157A6">
            <w:pPr>
              <w:rPr>
                <w:lang w:val="en-GB"/>
              </w:rPr>
            </w:pPr>
          </w:p>
        </w:tc>
        <w:tc>
          <w:tcPr>
            <w:tcW w:w="419" w:type="dxa"/>
          </w:tcPr>
          <w:p w14:paraId="2907D560" w14:textId="77777777" w:rsidR="007157A6" w:rsidRPr="007157A6" w:rsidRDefault="007157A6" w:rsidP="007157A6">
            <w:pPr>
              <w:rPr>
                <w:lang w:val="en-GB"/>
              </w:rPr>
            </w:pPr>
          </w:p>
        </w:tc>
      </w:tr>
      <w:tr w:rsidR="007157A6" w:rsidRPr="007157A6" w14:paraId="0E50C77D" w14:textId="77777777" w:rsidTr="00C850ED">
        <w:trPr>
          <w:trHeight w:val="537"/>
        </w:trPr>
        <w:tc>
          <w:tcPr>
            <w:tcW w:w="8642" w:type="dxa"/>
            <w:vMerge/>
          </w:tcPr>
          <w:p w14:paraId="6967C6A2" w14:textId="77777777" w:rsidR="007157A6" w:rsidRPr="007157A6" w:rsidRDefault="007157A6" w:rsidP="007157A6">
            <w:pPr>
              <w:rPr>
                <w:lang w:val="en-GB"/>
              </w:rPr>
            </w:pPr>
          </w:p>
        </w:tc>
        <w:tc>
          <w:tcPr>
            <w:tcW w:w="3544" w:type="dxa"/>
          </w:tcPr>
          <w:p w14:paraId="4D3C241F"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74288FD" w14:textId="77777777" w:rsidR="007157A6" w:rsidRPr="007157A6" w:rsidRDefault="007157A6" w:rsidP="007157A6">
            <w:pPr>
              <w:rPr>
                <w:lang w:val="en-GB"/>
              </w:rPr>
            </w:pPr>
          </w:p>
        </w:tc>
        <w:tc>
          <w:tcPr>
            <w:tcW w:w="418" w:type="dxa"/>
          </w:tcPr>
          <w:p w14:paraId="6E8E0F93" w14:textId="77777777" w:rsidR="007157A6" w:rsidRPr="007157A6" w:rsidRDefault="007157A6" w:rsidP="007157A6">
            <w:pPr>
              <w:rPr>
                <w:lang w:val="en-GB"/>
              </w:rPr>
            </w:pPr>
          </w:p>
        </w:tc>
        <w:tc>
          <w:tcPr>
            <w:tcW w:w="418" w:type="dxa"/>
          </w:tcPr>
          <w:p w14:paraId="5AF8670C" w14:textId="77777777" w:rsidR="007157A6" w:rsidRPr="007157A6" w:rsidRDefault="007157A6" w:rsidP="007157A6">
            <w:pPr>
              <w:rPr>
                <w:lang w:val="en-GB"/>
              </w:rPr>
            </w:pPr>
          </w:p>
        </w:tc>
        <w:tc>
          <w:tcPr>
            <w:tcW w:w="418" w:type="dxa"/>
          </w:tcPr>
          <w:p w14:paraId="06961FE3" w14:textId="77777777" w:rsidR="007157A6" w:rsidRPr="007157A6" w:rsidRDefault="007157A6" w:rsidP="007157A6">
            <w:pPr>
              <w:rPr>
                <w:lang w:val="en-GB"/>
              </w:rPr>
            </w:pPr>
          </w:p>
        </w:tc>
        <w:tc>
          <w:tcPr>
            <w:tcW w:w="419" w:type="dxa"/>
          </w:tcPr>
          <w:p w14:paraId="485209DA" w14:textId="77777777" w:rsidR="007157A6" w:rsidRPr="007157A6" w:rsidRDefault="007157A6" w:rsidP="007157A6">
            <w:pPr>
              <w:rPr>
                <w:lang w:val="en-GB"/>
              </w:rPr>
            </w:pPr>
          </w:p>
        </w:tc>
      </w:tr>
      <w:tr w:rsidR="007157A6" w:rsidRPr="007157A6" w14:paraId="3E607591" w14:textId="77777777" w:rsidTr="00C850ED">
        <w:tc>
          <w:tcPr>
            <w:tcW w:w="8642" w:type="dxa"/>
            <w:shd w:val="clear" w:color="auto" w:fill="D9D9D9" w:themeFill="background1" w:themeFillShade="D9"/>
          </w:tcPr>
          <w:p w14:paraId="4C01D157"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7CC8C2A8"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3CE08EE2"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DD644A7"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70147842"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5C5661A7"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78ED303C" w14:textId="77777777" w:rsidR="007157A6" w:rsidRPr="007157A6" w:rsidRDefault="007157A6" w:rsidP="007157A6">
            <w:pPr>
              <w:rPr>
                <w:b/>
                <w:lang w:val="en-GB"/>
              </w:rPr>
            </w:pPr>
            <w:r w:rsidRPr="007157A6">
              <w:rPr>
                <w:b/>
                <w:lang w:val="en-GB"/>
              </w:rPr>
              <w:t>1</w:t>
            </w:r>
          </w:p>
        </w:tc>
      </w:tr>
      <w:tr w:rsidR="007157A6" w:rsidRPr="007157A6" w14:paraId="60269C01" w14:textId="77777777" w:rsidTr="00C850ED">
        <w:tc>
          <w:tcPr>
            <w:tcW w:w="8642" w:type="dxa"/>
            <w:vMerge w:val="restart"/>
          </w:tcPr>
          <w:p w14:paraId="158B1A9D" w14:textId="77777777" w:rsidR="007157A6" w:rsidRPr="007157A6" w:rsidRDefault="007157A6" w:rsidP="007157A6">
            <w:pPr>
              <w:rPr>
                <w:lang w:val="en-GB"/>
              </w:rPr>
            </w:pPr>
            <w:r w:rsidRPr="007157A6">
              <w:rPr>
                <w:lang w:val="en-GB"/>
              </w:rPr>
              <w:t>Refine the pricing mechanisms for sustainability losses in a way that protects companies’ ability to compete internationally whilst at the same time sending accurate signals for the capital allocation by financial market players.</w:t>
            </w:r>
          </w:p>
        </w:tc>
        <w:tc>
          <w:tcPr>
            <w:tcW w:w="3544" w:type="dxa"/>
          </w:tcPr>
          <w:p w14:paraId="1488B1D5" w14:textId="77777777" w:rsidR="007157A6" w:rsidRPr="007157A6" w:rsidRDefault="007157A6" w:rsidP="007157A6">
            <w:pPr>
              <w:rPr>
                <w:lang w:val="en-GB"/>
              </w:rPr>
            </w:pPr>
            <w:r w:rsidRPr="007157A6">
              <w:rPr>
                <w:lang w:val="en-GB"/>
              </w:rPr>
              <w:t>Will foster Sustainable Finance in Germany</w:t>
            </w:r>
          </w:p>
        </w:tc>
        <w:tc>
          <w:tcPr>
            <w:tcW w:w="418" w:type="dxa"/>
          </w:tcPr>
          <w:p w14:paraId="5B1B0614" w14:textId="77777777" w:rsidR="007157A6" w:rsidRPr="007157A6" w:rsidRDefault="007157A6" w:rsidP="007157A6">
            <w:pPr>
              <w:rPr>
                <w:lang w:val="en-GB"/>
              </w:rPr>
            </w:pPr>
          </w:p>
        </w:tc>
        <w:tc>
          <w:tcPr>
            <w:tcW w:w="418" w:type="dxa"/>
          </w:tcPr>
          <w:p w14:paraId="36C514F8" w14:textId="77777777" w:rsidR="007157A6" w:rsidRPr="007157A6" w:rsidRDefault="007157A6" w:rsidP="007157A6">
            <w:pPr>
              <w:rPr>
                <w:lang w:val="en-GB"/>
              </w:rPr>
            </w:pPr>
          </w:p>
        </w:tc>
        <w:tc>
          <w:tcPr>
            <w:tcW w:w="418" w:type="dxa"/>
          </w:tcPr>
          <w:p w14:paraId="41C2308E" w14:textId="77777777" w:rsidR="007157A6" w:rsidRPr="007157A6" w:rsidRDefault="007157A6" w:rsidP="007157A6">
            <w:pPr>
              <w:rPr>
                <w:lang w:val="en-GB"/>
              </w:rPr>
            </w:pPr>
          </w:p>
        </w:tc>
        <w:tc>
          <w:tcPr>
            <w:tcW w:w="418" w:type="dxa"/>
          </w:tcPr>
          <w:p w14:paraId="51CD95D8" w14:textId="77777777" w:rsidR="007157A6" w:rsidRPr="007157A6" w:rsidRDefault="007157A6" w:rsidP="007157A6">
            <w:pPr>
              <w:rPr>
                <w:lang w:val="en-GB"/>
              </w:rPr>
            </w:pPr>
          </w:p>
        </w:tc>
        <w:tc>
          <w:tcPr>
            <w:tcW w:w="419" w:type="dxa"/>
          </w:tcPr>
          <w:p w14:paraId="56FA6CA3" w14:textId="77777777" w:rsidR="007157A6" w:rsidRPr="007157A6" w:rsidRDefault="007157A6" w:rsidP="007157A6">
            <w:pPr>
              <w:rPr>
                <w:lang w:val="en-GB"/>
              </w:rPr>
            </w:pPr>
          </w:p>
        </w:tc>
      </w:tr>
      <w:tr w:rsidR="007157A6" w:rsidRPr="007157A6" w14:paraId="45D534AB" w14:textId="77777777" w:rsidTr="00C850ED">
        <w:tc>
          <w:tcPr>
            <w:tcW w:w="8642" w:type="dxa"/>
            <w:vMerge/>
          </w:tcPr>
          <w:p w14:paraId="443BB6B1" w14:textId="77777777" w:rsidR="007157A6" w:rsidRPr="007157A6" w:rsidRDefault="007157A6" w:rsidP="007157A6">
            <w:pPr>
              <w:rPr>
                <w:lang w:val="en-GB"/>
              </w:rPr>
            </w:pPr>
          </w:p>
        </w:tc>
        <w:tc>
          <w:tcPr>
            <w:tcW w:w="3544" w:type="dxa"/>
          </w:tcPr>
          <w:p w14:paraId="41DC8675" w14:textId="77777777" w:rsidR="007157A6" w:rsidRPr="007157A6" w:rsidRDefault="007157A6" w:rsidP="007157A6">
            <w:pPr>
              <w:rPr>
                <w:lang w:val="en-GB"/>
              </w:rPr>
            </w:pPr>
            <w:r w:rsidRPr="007157A6">
              <w:rPr>
                <w:lang w:val="en-GB"/>
              </w:rPr>
              <w:t>Level of ambition</w:t>
            </w:r>
          </w:p>
        </w:tc>
        <w:tc>
          <w:tcPr>
            <w:tcW w:w="418" w:type="dxa"/>
          </w:tcPr>
          <w:p w14:paraId="441F0E65" w14:textId="77777777" w:rsidR="007157A6" w:rsidRPr="007157A6" w:rsidRDefault="007157A6" w:rsidP="007157A6">
            <w:pPr>
              <w:rPr>
                <w:lang w:val="en-GB"/>
              </w:rPr>
            </w:pPr>
          </w:p>
        </w:tc>
        <w:tc>
          <w:tcPr>
            <w:tcW w:w="418" w:type="dxa"/>
          </w:tcPr>
          <w:p w14:paraId="76781500" w14:textId="77777777" w:rsidR="007157A6" w:rsidRPr="007157A6" w:rsidRDefault="007157A6" w:rsidP="007157A6">
            <w:pPr>
              <w:rPr>
                <w:lang w:val="en-GB"/>
              </w:rPr>
            </w:pPr>
          </w:p>
        </w:tc>
        <w:tc>
          <w:tcPr>
            <w:tcW w:w="418" w:type="dxa"/>
          </w:tcPr>
          <w:p w14:paraId="77CA98CF" w14:textId="77777777" w:rsidR="007157A6" w:rsidRPr="007157A6" w:rsidRDefault="007157A6" w:rsidP="007157A6">
            <w:pPr>
              <w:rPr>
                <w:lang w:val="en-GB"/>
              </w:rPr>
            </w:pPr>
          </w:p>
        </w:tc>
        <w:tc>
          <w:tcPr>
            <w:tcW w:w="418" w:type="dxa"/>
          </w:tcPr>
          <w:p w14:paraId="32552820" w14:textId="77777777" w:rsidR="007157A6" w:rsidRPr="007157A6" w:rsidRDefault="007157A6" w:rsidP="007157A6">
            <w:pPr>
              <w:rPr>
                <w:lang w:val="en-GB"/>
              </w:rPr>
            </w:pPr>
          </w:p>
        </w:tc>
        <w:tc>
          <w:tcPr>
            <w:tcW w:w="419" w:type="dxa"/>
          </w:tcPr>
          <w:p w14:paraId="07F10EE6" w14:textId="77777777" w:rsidR="007157A6" w:rsidRPr="007157A6" w:rsidRDefault="007157A6" w:rsidP="007157A6">
            <w:pPr>
              <w:rPr>
                <w:lang w:val="en-GB"/>
              </w:rPr>
            </w:pPr>
          </w:p>
        </w:tc>
      </w:tr>
      <w:tr w:rsidR="007157A6" w:rsidRPr="007157A6" w14:paraId="27EF4DD1" w14:textId="77777777" w:rsidTr="00C850ED">
        <w:tc>
          <w:tcPr>
            <w:tcW w:w="8642" w:type="dxa"/>
            <w:vMerge/>
          </w:tcPr>
          <w:p w14:paraId="1F5256EB" w14:textId="77777777" w:rsidR="007157A6" w:rsidRPr="007157A6" w:rsidRDefault="007157A6" w:rsidP="007157A6">
            <w:pPr>
              <w:rPr>
                <w:lang w:val="en-GB"/>
              </w:rPr>
            </w:pPr>
          </w:p>
        </w:tc>
        <w:tc>
          <w:tcPr>
            <w:tcW w:w="3544" w:type="dxa"/>
          </w:tcPr>
          <w:p w14:paraId="34DD4432" w14:textId="77777777" w:rsidR="007157A6" w:rsidRPr="007157A6" w:rsidRDefault="007157A6" w:rsidP="007157A6">
            <w:pPr>
              <w:rPr>
                <w:lang w:val="en-GB"/>
              </w:rPr>
            </w:pPr>
            <w:r w:rsidRPr="007157A6">
              <w:rPr>
                <w:lang w:val="en-GB"/>
              </w:rPr>
              <w:t>Practicability</w:t>
            </w:r>
          </w:p>
        </w:tc>
        <w:tc>
          <w:tcPr>
            <w:tcW w:w="418" w:type="dxa"/>
          </w:tcPr>
          <w:p w14:paraId="278E0F4D" w14:textId="77777777" w:rsidR="007157A6" w:rsidRPr="007157A6" w:rsidRDefault="007157A6" w:rsidP="007157A6">
            <w:pPr>
              <w:rPr>
                <w:lang w:val="en-GB"/>
              </w:rPr>
            </w:pPr>
          </w:p>
        </w:tc>
        <w:tc>
          <w:tcPr>
            <w:tcW w:w="418" w:type="dxa"/>
          </w:tcPr>
          <w:p w14:paraId="0FEDCE59" w14:textId="77777777" w:rsidR="007157A6" w:rsidRPr="007157A6" w:rsidRDefault="007157A6" w:rsidP="007157A6">
            <w:pPr>
              <w:rPr>
                <w:lang w:val="en-GB"/>
              </w:rPr>
            </w:pPr>
          </w:p>
        </w:tc>
        <w:tc>
          <w:tcPr>
            <w:tcW w:w="418" w:type="dxa"/>
          </w:tcPr>
          <w:p w14:paraId="3111E9D9" w14:textId="77777777" w:rsidR="007157A6" w:rsidRPr="007157A6" w:rsidRDefault="007157A6" w:rsidP="007157A6">
            <w:pPr>
              <w:rPr>
                <w:lang w:val="en-GB"/>
              </w:rPr>
            </w:pPr>
          </w:p>
        </w:tc>
        <w:tc>
          <w:tcPr>
            <w:tcW w:w="418" w:type="dxa"/>
          </w:tcPr>
          <w:p w14:paraId="1745088B" w14:textId="77777777" w:rsidR="007157A6" w:rsidRPr="007157A6" w:rsidRDefault="007157A6" w:rsidP="007157A6">
            <w:pPr>
              <w:rPr>
                <w:lang w:val="en-GB"/>
              </w:rPr>
            </w:pPr>
          </w:p>
        </w:tc>
        <w:tc>
          <w:tcPr>
            <w:tcW w:w="419" w:type="dxa"/>
          </w:tcPr>
          <w:p w14:paraId="4E6586C0" w14:textId="77777777" w:rsidR="007157A6" w:rsidRPr="007157A6" w:rsidRDefault="007157A6" w:rsidP="007157A6">
            <w:pPr>
              <w:rPr>
                <w:lang w:val="en-GB"/>
              </w:rPr>
            </w:pPr>
          </w:p>
        </w:tc>
      </w:tr>
      <w:tr w:rsidR="007157A6" w:rsidRPr="007157A6" w14:paraId="073B6107" w14:textId="77777777" w:rsidTr="00C850ED">
        <w:tc>
          <w:tcPr>
            <w:tcW w:w="8642" w:type="dxa"/>
            <w:vMerge/>
          </w:tcPr>
          <w:p w14:paraId="22890B24" w14:textId="77777777" w:rsidR="007157A6" w:rsidRPr="007157A6" w:rsidRDefault="007157A6" w:rsidP="007157A6">
            <w:pPr>
              <w:rPr>
                <w:lang w:val="en-GB"/>
              </w:rPr>
            </w:pPr>
          </w:p>
        </w:tc>
        <w:tc>
          <w:tcPr>
            <w:tcW w:w="3544" w:type="dxa"/>
          </w:tcPr>
          <w:p w14:paraId="7E7D311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3D1A829" w14:textId="77777777" w:rsidR="007157A6" w:rsidRPr="007157A6" w:rsidRDefault="007157A6" w:rsidP="007157A6">
            <w:pPr>
              <w:rPr>
                <w:lang w:val="en-GB"/>
              </w:rPr>
            </w:pPr>
          </w:p>
        </w:tc>
        <w:tc>
          <w:tcPr>
            <w:tcW w:w="418" w:type="dxa"/>
          </w:tcPr>
          <w:p w14:paraId="3D2CEE28" w14:textId="77777777" w:rsidR="007157A6" w:rsidRPr="007157A6" w:rsidRDefault="007157A6" w:rsidP="007157A6">
            <w:pPr>
              <w:rPr>
                <w:lang w:val="en-GB"/>
              </w:rPr>
            </w:pPr>
          </w:p>
        </w:tc>
        <w:tc>
          <w:tcPr>
            <w:tcW w:w="418" w:type="dxa"/>
          </w:tcPr>
          <w:p w14:paraId="7FB95662" w14:textId="77777777" w:rsidR="007157A6" w:rsidRPr="007157A6" w:rsidRDefault="007157A6" w:rsidP="007157A6">
            <w:pPr>
              <w:rPr>
                <w:lang w:val="en-GB"/>
              </w:rPr>
            </w:pPr>
          </w:p>
        </w:tc>
        <w:tc>
          <w:tcPr>
            <w:tcW w:w="418" w:type="dxa"/>
          </w:tcPr>
          <w:p w14:paraId="0433F65A" w14:textId="77777777" w:rsidR="007157A6" w:rsidRPr="007157A6" w:rsidRDefault="007157A6" w:rsidP="007157A6">
            <w:pPr>
              <w:rPr>
                <w:lang w:val="en-GB"/>
              </w:rPr>
            </w:pPr>
          </w:p>
        </w:tc>
        <w:tc>
          <w:tcPr>
            <w:tcW w:w="419" w:type="dxa"/>
          </w:tcPr>
          <w:p w14:paraId="587E7AD7" w14:textId="77777777" w:rsidR="007157A6" w:rsidRPr="007157A6" w:rsidRDefault="007157A6" w:rsidP="007157A6">
            <w:pPr>
              <w:rPr>
                <w:lang w:val="en-GB"/>
              </w:rPr>
            </w:pPr>
          </w:p>
        </w:tc>
      </w:tr>
      <w:tr w:rsidR="007157A6" w:rsidRPr="007157A6" w14:paraId="6DB3CD80" w14:textId="77777777" w:rsidTr="00C850ED">
        <w:tc>
          <w:tcPr>
            <w:tcW w:w="8642" w:type="dxa"/>
            <w:shd w:val="clear" w:color="auto" w:fill="D9D9D9" w:themeFill="background1" w:themeFillShade="D9"/>
          </w:tcPr>
          <w:p w14:paraId="0C05F1A2"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B138E25"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841076C"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11C675E1"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05A502B2"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266524DB"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143B642" w14:textId="77777777" w:rsidR="007157A6" w:rsidRPr="007157A6" w:rsidRDefault="007157A6" w:rsidP="007157A6">
            <w:pPr>
              <w:rPr>
                <w:lang w:val="en-GB"/>
              </w:rPr>
            </w:pPr>
            <w:r w:rsidRPr="007157A6">
              <w:rPr>
                <w:b/>
                <w:lang w:val="en-GB"/>
              </w:rPr>
              <w:t>1</w:t>
            </w:r>
          </w:p>
        </w:tc>
      </w:tr>
      <w:tr w:rsidR="007157A6" w:rsidRPr="007157A6" w14:paraId="66BB82B2" w14:textId="77777777" w:rsidTr="00C850ED">
        <w:trPr>
          <w:trHeight w:val="798"/>
        </w:trPr>
        <w:tc>
          <w:tcPr>
            <w:tcW w:w="8642" w:type="dxa"/>
            <w:vMerge w:val="restart"/>
          </w:tcPr>
          <w:p w14:paraId="25DFAB4D" w14:textId="77777777" w:rsidR="007157A6" w:rsidRPr="007157A6" w:rsidRDefault="007157A6" w:rsidP="007157A6">
            <w:pPr>
              <w:rPr>
                <w:lang w:val="en-GB"/>
              </w:rPr>
            </w:pPr>
            <w:r w:rsidRPr="007157A6">
              <w:rPr>
                <w:lang w:val="en-GB"/>
              </w:rPr>
              <w:t>Ensure that risk hedging by the public sector and its subsidiary organisations – including commissioned entities such as Euler Hermes for export credit guarantees, guarantees for unrestricted loans (“UFK” guarantees) and federal investment guarantees – as well as the development and investment banks is compatible with sustainability requirements. This means that projects and measures which undermine the Paris climate goals or the SDGs cannot be guaranteed. The UFK guarantee instrument, in particular, should be expanded based on the existing infrastructure with the aim of promoting investments in new, innovative projects and technologies with a focus on especially relevant and risky investments (e.g. battery and hydrogen technology). This increases companies’ willingness to invest in viable projects and technologies at the macroeconomic level and boosts credit institutions’ risk appetite.</w:t>
            </w:r>
          </w:p>
        </w:tc>
        <w:tc>
          <w:tcPr>
            <w:tcW w:w="3544" w:type="dxa"/>
          </w:tcPr>
          <w:p w14:paraId="10BB6FEF" w14:textId="77777777" w:rsidR="007157A6" w:rsidRPr="007157A6" w:rsidRDefault="007157A6" w:rsidP="007157A6">
            <w:pPr>
              <w:rPr>
                <w:lang w:val="en-GB"/>
              </w:rPr>
            </w:pPr>
            <w:r w:rsidRPr="007157A6">
              <w:rPr>
                <w:lang w:val="en-GB"/>
              </w:rPr>
              <w:t>Will foster Sustainable Finance in Germany</w:t>
            </w:r>
          </w:p>
        </w:tc>
        <w:tc>
          <w:tcPr>
            <w:tcW w:w="418" w:type="dxa"/>
          </w:tcPr>
          <w:p w14:paraId="01C1D7D4" w14:textId="77777777" w:rsidR="007157A6" w:rsidRPr="007157A6" w:rsidRDefault="007157A6" w:rsidP="007157A6">
            <w:pPr>
              <w:rPr>
                <w:lang w:val="en-GB"/>
              </w:rPr>
            </w:pPr>
          </w:p>
        </w:tc>
        <w:tc>
          <w:tcPr>
            <w:tcW w:w="418" w:type="dxa"/>
          </w:tcPr>
          <w:p w14:paraId="048195BE" w14:textId="77777777" w:rsidR="007157A6" w:rsidRPr="007157A6" w:rsidRDefault="007157A6" w:rsidP="007157A6">
            <w:pPr>
              <w:rPr>
                <w:lang w:val="en-GB"/>
              </w:rPr>
            </w:pPr>
          </w:p>
        </w:tc>
        <w:tc>
          <w:tcPr>
            <w:tcW w:w="418" w:type="dxa"/>
          </w:tcPr>
          <w:p w14:paraId="7A5A5691" w14:textId="77777777" w:rsidR="007157A6" w:rsidRPr="007157A6" w:rsidRDefault="007157A6" w:rsidP="007157A6">
            <w:pPr>
              <w:rPr>
                <w:lang w:val="en-GB"/>
              </w:rPr>
            </w:pPr>
          </w:p>
        </w:tc>
        <w:tc>
          <w:tcPr>
            <w:tcW w:w="418" w:type="dxa"/>
          </w:tcPr>
          <w:p w14:paraId="76B7E084" w14:textId="77777777" w:rsidR="007157A6" w:rsidRPr="007157A6" w:rsidRDefault="007157A6" w:rsidP="007157A6">
            <w:pPr>
              <w:rPr>
                <w:lang w:val="en-GB"/>
              </w:rPr>
            </w:pPr>
          </w:p>
        </w:tc>
        <w:tc>
          <w:tcPr>
            <w:tcW w:w="419" w:type="dxa"/>
          </w:tcPr>
          <w:p w14:paraId="072D0F95" w14:textId="77777777" w:rsidR="007157A6" w:rsidRPr="007157A6" w:rsidRDefault="007157A6" w:rsidP="007157A6">
            <w:pPr>
              <w:rPr>
                <w:lang w:val="en-GB"/>
              </w:rPr>
            </w:pPr>
          </w:p>
        </w:tc>
      </w:tr>
      <w:tr w:rsidR="007157A6" w:rsidRPr="007157A6" w14:paraId="65799A11" w14:textId="77777777" w:rsidTr="00C850ED">
        <w:trPr>
          <w:trHeight w:val="798"/>
        </w:trPr>
        <w:tc>
          <w:tcPr>
            <w:tcW w:w="8642" w:type="dxa"/>
            <w:vMerge/>
          </w:tcPr>
          <w:p w14:paraId="4291D003" w14:textId="77777777" w:rsidR="007157A6" w:rsidRPr="007157A6" w:rsidRDefault="007157A6" w:rsidP="007157A6">
            <w:pPr>
              <w:rPr>
                <w:lang w:val="en-GB"/>
              </w:rPr>
            </w:pPr>
          </w:p>
        </w:tc>
        <w:tc>
          <w:tcPr>
            <w:tcW w:w="3544" w:type="dxa"/>
          </w:tcPr>
          <w:p w14:paraId="6EE5EBC3" w14:textId="77777777" w:rsidR="007157A6" w:rsidRPr="007157A6" w:rsidRDefault="007157A6" w:rsidP="007157A6">
            <w:pPr>
              <w:rPr>
                <w:lang w:val="en-GB"/>
              </w:rPr>
            </w:pPr>
            <w:r w:rsidRPr="007157A6">
              <w:rPr>
                <w:lang w:val="en-GB"/>
              </w:rPr>
              <w:t>Level of ambition</w:t>
            </w:r>
          </w:p>
        </w:tc>
        <w:tc>
          <w:tcPr>
            <w:tcW w:w="418" w:type="dxa"/>
          </w:tcPr>
          <w:p w14:paraId="05928E88" w14:textId="77777777" w:rsidR="007157A6" w:rsidRPr="007157A6" w:rsidRDefault="007157A6" w:rsidP="007157A6">
            <w:pPr>
              <w:rPr>
                <w:lang w:val="en-GB"/>
              </w:rPr>
            </w:pPr>
          </w:p>
        </w:tc>
        <w:tc>
          <w:tcPr>
            <w:tcW w:w="418" w:type="dxa"/>
          </w:tcPr>
          <w:p w14:paraId="6272A017" w14:textId="77777777" w:rsidR="007157A6" w:rsidRPr="007157A6" w:rsidRDefault="007157A6" w:rsidP="007157A6">
            <w:pPr>
              <w:rPr>
                <w:lang w:val="en-GB"/>
              </w:rPr>
            </w:pPr>
          </w:p>
        </w:tc>
        <w:tc>
          <w:tcPr>
            <w:tcW w:w="418" w:type="dxa"/>
          </w:tcPr>
          <w:p w14:paraId="62748465" w14:textId="77777777" w:rsidR="007157A6" w:rsidRPr="007157A6" w:rsidRDefault="007157A6" w:rsidP="007157A6">
            <w:pPr>
              <w:rPr>
                <w:lang w:val="en-GB"/>
              </w:rPr>
            </w:pPr>
          </w:p>
        </w:tc>
        <w:tc>
          <w:tcPr>
            <w:tcW w:w="418" w:type="dxa"/>
          </w:tcPr>
          <w:p w14:paraId="2B080211" w14:textId="77777777" w:rsidR="007157A6" w:rsidRPr="007157A6" w:rsidRDefault="007157A6" w:rsidP="007157A6">
            <w:pPr>
              <w:rPr>
                <w:lang w:val="en-GB"/>
              </w:rPr>
            </w:pPr>
          </w:p>
        </w:tc>
        <w:tc>
          <w:tcPr>
            <w:tcW w:w="419" w:type="dxa"/>
          </w:tcPr>
          <w:p w14:paraId="6D4404D0" w14:textId="77777777" w:rsidR="007157A6" w:rsidRPr="007157A6" w:rsidRDefault="007157A6" w:rsidP="007157A6">
            <w:pPr>
              <w:rPr>
                <w:lang w:val="en-GB"/>
              </w:rPr>
            </w:pPr>
          </w:p>
        </w:tc>
      </w:tr>
      <w:tr w:rsidR="007157A6" w:rsidRPr="007157A6" w14:paraId="34F512FB" w14:textId="77777777" w:rsidTr="00C850ED">
        <w:trPr>
          <w:trHeight w:val="798"/>
        </w:trPr>
        <w:tc>
          <w:tcPr>
            <w:tcW w:w="8642" w:type="dxa"/>
            <w:vMerge/>
          </w:tcPr>
          <w:p w14:paraId="05187DC8" w14:textId="77777777" w:rsidR="007157A6" w:rsidRPr="007157A6" w:rsidRDefault="007157A6" w:rsidP="007157A6">
            <w:pPr>
              <w:rPr>
                <w:lang w:val="en-GB"/>
              </w:rPr>
            </w:pPr>
          </w:p>
        </w:tc>
        <w:tc>
          <w:tcPr>
            <w:tcW w:w="3544" w:type="dxa"/>
          </w:tcPr>
          <w:p w14:paraId="179E21F3" w14:textId="77777777" w:rsidR="007157A6" w:rsidRPr="007157A6" w:rsidRDefault="007157A6" w:rsidP="007157A6">
            <w:pPr>
              <w:rPr>
                <w:lang w:val="en-GB"/>
              </w:rPr>
            </w:pPr>
            <w:r w:rsidRPr="007157A6">
              <w:rPr>
                <w:lang w:val="en-GB"/>
              </w:rPr>
              <w:t>Practicability</w:t>
            </w:r>
          </w:p>
        </w:tc>
        <w:tc>
          <w:tcPr>
            <w:tcW w:w="418" w:type="dxa"/>
          </w:tcPr>
          <w:p w14:paraId="288914E9" w14:textId="77777777" w:rsidR="007157A6" w:rsidRPr="007157A6" w:rsidRDefault="007157A6" w:rsidP="007157A6">
            <w:pPr>
              <w:rPr>
                <w:lang w:val="en-GB"/>
              </w:rPr>
            </w:pPr>
          </w:p>
        </w:tc>
        <w:tc>
          <w:tcPr>
            <w:tcW w:w="418" w:type="dxa"/>
          </w:tcPr>
          <w:p w14:paraId="2DF3F9E0" w14:textId="77777777" w:rsidR="007157A6" w:rsidRPr="007157A6" w:rsidRDefault="007157A6" w:rsidP="007157A6">
            <w:pPr>
              <w:rPr>
                <w:lang w:val="en-GB"/>
              </w:rPr>
            </w:pPr>
          </w:p>
        </w:tc>
        <w:tc>
          <w:tcPr>
            <w:tcW w:w="418" w:type="dxa"/>
          </w:tcPr>
          <w:p w14:paraId="03C5C7F1" w14:textId="77777777" w:rsidR="007157A6" w:rsidRPr="007157A6" w:rsidRDefault="007157A6" w:rsidP="007157A6">
            <w:pPr>
              <w:rPr>
                <w:lang w:val="en-GB"/>
              </w:rPr>
            </w:pPr>
          </w:p>
        </w:tc>
        <w:tc>
          <w:tcPr>
            <w:tcW w:w="418" w:type="dxa"/>
          </w:tcPr>
          <w:p w14:paraId="5594198E" w14:textId="77777777" w:rsidR="007157A6" w:rsidRPr="007157A6" w:rsidRDefault="007157A6" w:rsidP="007157A6">
            <w:pPr>
              <w:rPr>
                <w:lang w:val="en-GB"/>
              </w:rPr>
            </w:pPr>
          </w:p>
        </w:tc>
        <w:tc>
          <w:tcPr>
            <w:tcW w:w="419" w:type="dxa"/>
          </w:tcPr>
          <w:p w14:paraId="2DA52E7C" w14:textId="77777777" w:rsidR="007157A6" w:rsidRPr="007157A6" w:rsidRDefault="007157A6" w:rsidP="007157A6">
            <w:pPr>
              <w:rPr>
                <w:lang w:val="en-GB"/>
              </w:rPr>
            </w:pPr>
          </w:p>
        </w:tc>
      </w:tr>
      <w:tr w:rsidR="007157A6" w:rsidRPr="007157A6" w14:paraId="2486F582" w14:textId="77777777" w:rsidTr="00C850ED">
        <w:trPr>
          <w:trHeight w:val="799"/>
        </w:trPr>
        <w:tc>
          <w:tcPr>
            <w:tcW w:w="8642" w:type="dxa"/>
            <w:vMerge/>
          </w:tcPr>
          <w:p w14:paraId="38E5E90C" w14:textId="77777777" w:rsidR="007157A6" w:rsidRPr="007157A6" w:rsidRDefault="007157A6" w:rsidP="007157A6">
            <w:pPr>
              <w:rPr>
                <w:lang w:val="en-GB"/>
              </w:rPr>
            </w:pPr>
          </w:p>
        </w:tc>
        <w:tc>
          <w:tcPr>
            <w:tcW w:w="3544" w:type="dxa"/>
          </w:tcPr>
          <w:p w14:paraId="672A3E3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AA26B92" w14:textId="77777777" w:rsidR="007157A6" w:rsidRPr="007157A6" w:rsidRDefault="007157A6" w:rsidP="007157A6">
            <w:pPr>
              <w:rPr>
                <w:lang w:val="en-GB"/>
              </w:rPr>
            </w:pPr>
          </w:p>
        </w:tc>
        <w:tc>
          <w:tcPr>
            <w:tcW w:w="418" w:type="dxa"/>
          </w:tcPr>
          <w:p w14:paraId="2405AFD6" w14:textId="77777777" w:rsidR="007157A6" w:rsidRPr="007157A6" w:rsidRDefault="007157A6" w:rsidP="007157A6">
            <w:pPr>
              <w:rPr>
                <w:lang w:val="en-GB"/>
              </w:rPr>
            </w:pPr>
          </w:p>
        </w:tc>
        <w:tc>
          <w:tcPr>
            <w:tcW w:w="418" w:type="dxa"/>
          </w:tcPr>
          <w:p w14:paraId="09375885" w14:textId="77777777" w:rsidR="007157A6" w:rsidRPr="007157A6" w:rsidRDefault="007157A6" w:rsidP="007157A6">
            <w:pPr>
              <w:rPr>
                <w:lang w:val="en-GB"/>
              </w:rPr>
            </w:pPr>
          </w:p>
        </w:tc>
        <w:tc>
          <w:tcPr>
            <w:tcW w:w="418" w:type="dxa"/>
          </w:tcPr>
          <w:p w14:paraId="2B4BAD80" w14:textId="77777777" w:rsidR="007157A6" w:rsidRPr="007157A6" w:rsidRDefault="007157A6" w:rsidP="007157A6">
            <w:pPr>
              <w:rPr>
                <w:lang w:val="en-GB"/>
              </w:rPr>
            </w:pPr>
          </w:p>
        </w:tc>
        <w:tc>
          <w:tcPr>
            <w:tcW w:w="419" w:type="dxa"/>
          </w:tcPr>
          <w:p w14:paraId="114BD069" w14:textId="77777777" w:rsidR="007157A6" w:rsidRPr="007157A6" w:rsidRDefault="007157A6" w:rsidP="007157A6">
            <w:pPr>
              <w:rPr>
                <w:lang w:val="en-GB"/>
              </w:rPr>
            </w:pPr>
          </w:p>
        </w:tc>
      </w:tr>
      <w:tr w:rsidR="007157A6" w:rsidRPr="007157A6" w14:paraId="032FEA9C" w14:textId="77777777" w:rsidTr="00C850ED">
        <w:tc>
          <w:tcPr>
            <w:tcW w:w="8642" w:type="dxa"/>
            <w:shd w:val="clear" w:color="auto" w:fill="D9D9D9" w:themeFill="background1" w:themeFillShade="D9"/>
          </w:tcPr>
          <w:p w14:paraId="688539E4"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A0ACC79"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B532654"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6FF265B0"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413416D6"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065CDA0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3323E5B4" w14:textId="77777777" w:rsidR="007157A6" w:rsidRPr="007157A6" w:rsidRDefault="007157A6" w:rsidP="007157A6">
            <w:pPr>
              <w:rPr>
                <w:lang w:val="en-GB"/>
              </w:rPr>
            </w:pPr>
            <w:r w:rsidRPr="007157A6">
              <w:rPr>
                <w:b/>
                <w:lang w:val="en-GB"/>
              </w:rPr>
              <w:t>1</w:t>
            </w:r>
          </w:p>
        </w:tc>
      </w:tr>
      <w:tr w:rsidR="007157A6" w:rsidRPr="007157A6" w14:paraId="56DF32B1" w14:textId="77777777" w:rsidTr="00C850ED">
        <w:tc>
          <w:tcPr>
            <w:tcW w:w="8642" w:type="dxa"/>
            <w:vMerge w:val="restart"/>
          </w:tcPr>
          <w:p w14:paraId="60480955" w14:textId="77777777" w:rsidR="007157A6" w:rsidRPr="007157A6" w:rsidRDefault="007157A6" w:rsidP="007157A6">
            <w:pPr>
              <w:rPr>
                <w:lang w:val="en-GB"/>
              </w:rPr>
            </w:pPr>
            <w:r w:rsidRPr="007157A6">
              <w:rPr>
                <w:lang w:val="en-GB"/>
              </w:rPr>
              <w:t>Prospective risk analysis in the financial industry and in the real economy is predicated on an appropriate risk culture among both management and staff, taking relevant and material sustainability factors into account. Requirements as to qualifications and continued education as well as incentive and sanction mechanisms shall be adjusted at the management level to generate the requisite knowledge and awareness.</w:t>
            </w:r>
          </w:p>
        </w:tc>
        <w:tc>
          <w:tcPr>
            <w:tcW w:w="3544" w:type="dxa"/>
          </w:tcPr>
          <w:p w14:paraId="469AF798" w14:textId="77777777" w:rsidR="007157A6" w:rsidRPr="007157A6" w:rsidRDefault="007157A6" w:rsidP="007157A6">
            <w:pPr>
              <w:rPr>
                <w:lang w:val="en-GB"/>
              </w:rPr>
            </w:pPr>
            <w:r w:rsidRPr="007157A6">
              <w:rPr>
                <w:lang w:val="en-GB"/>
              </w:rPr>
              <w:t>Will foster Sustainable Finance in Germany</w:t>
            </w:r>
          </w:p>
        </w:tc>
        <w:tc>
          <w:tcPr>
            <w:tcW w:w="418" w:type="dxa"/>
          </w:tcPr>
          <w:p w14:paraId="42195A69" w14:textId="77777777" w:rsidR="007157A6" w:rsidRPr="007157A6" w:rsidRDefault="007157A6" w:rsidP="007157A6">
            <w:pPr>
              <w:rPr>
                <w:lang w:val="en-GB"/>
              </w:rPr>
            </w:pPr>
          </w:p>
        </w:tc>
        <w:tc>
          <w:tcPr>
            <w:tcW w:w="418" w:type="dxa"/>
          </w:tcPr>
          <w:p w14:paraId="61AE3FF7" w14:textId="77777777" w:rsidR="007157A6" w:rsidRPr="007157A6" w:rsidRDefault="007157A6" w:rsidP="007157A6">
            <w:pPr>
              <w:rPr>
                <w:lang w:val="en-GB"/>
              </w:rPr>
            </w:pPr>
          </w:p>
        </w:tc>
        <w:tc>
          <w:tcPr>
            <w:tcW w:w="418" w:type="dxa"/>
          </w:tcPr>
          <w:p w14:paraId="74D8CE0E" w14:textId="77777777" w:rsidR="007157A6" w:rsidRPr="007157A6" w:rsidRDefault="007157A6" w:rsidP="007157A6">
            <w:pPr>
              <w:rPr>
                <w:lang w:val="en-GB"/>
              </w:rPr>
            </w:pPr>
          </w:p>
        </w:tc>
        <w:tc>
          <w:tcPr>
            <w:tcW w:w="418" w:type="dxa"/>
          </w:tcPr>
          <w:p w14:paraId="3C65DB6F" w14:textId="77777777" w:rsidR="007157A6" w:rsidRPr="007157A6" w:rsidRDefault="007157A6" w:rsidP="007157A6">
            <w:pPr>
              <w:rPr>
                <w:lang w:val="en-GB"/>
              </w:rPr>
            </w:pPr>
          </w:p>
        </w:tc>
        <w:tc>
          <w:tcPr>
            <w:tcW w:w="419" w:type="dxa"/>
          </w:tcPr>
          <w:p w14:paraId="2A9FFDFA" w14:textId="77777777" w:rsidR="007157A6" w:rsidRPr="007157A6" w:rsidRDefault="007157A6" w:rsidP="007157A6">
            <w:pPr>
              <w:rPr>
                <w:lang w:val="en-GB"/>
              </w:rPr>
            </w:pPr>
          </w:p>
        </w:tc>
      </w:tr>
      <w:tr w:rsidR="007157A6" w:rsidRPr="007157A6" w14:paraId="12162497" w14:textId="77777777" w:rsidTr="00C850ED">
        <w:tc>
          <w:tcPr>
            <w:tcW w:w="8642" w:type="dxa"/>
            <w:vMerge/>
          </w:tcPr>
          <w:p w14:paraId="4BA88618" w14:textId="77777777" w:rsidR="007157A6" w:rsidRPr="007157A6" w:rsidRDefault="007157A6" w:rsidP="007157A6">
            <w:pPr>
              <w:rPr>
                <w:lang w:val="en-GB"/>
              </w:rPr>
            </w:pPr>
          </w:p>
        </w:tc>
        <w:tc>
          <w:tcPr>
            <w:tcW w:w="3544" w:type="dxa"/>
          </w:tcPr>
          <w:p w14:paraId="1B2D1FBC" w14:textId="77777777" w:rsidR="007157A6" w:rsidRPr="007157A6" w:rsidRDefault="007157A6" w:rsidP="007157A6">
            <w:pPr>
              <w:rPr>
                <w:lang w:val="en-GB"/>
              </w:rPr>
            </w:pPr>
            <w:r w:rsidRPr="007157A6">
              <w:rPr>
                <w:lang w:val="en-GB"/>
              </w:rPr>
              <w:t>Level of ambition</w:t>
            </w:r>
          </w:p>
        </w:tc>
        <w:tc>
          <w:tcPr>
            <w:tcW w:w="418" w:type="dxa"/>
          </w:tcPr>
          <w:p w14:paraId="2D27410C" w14:textId="77777777" w:rsidR="007157A6" w:rsidRPr="007157A6" w:rsidRDefault="007157A6" w:rsidP="007157A6">
            <w:pPr>
              <w:rPr>
                <w:lang w:val="en-GB"/>
              </w:rPr>
            </w:pPr>
          </w:p>
        </w:tc>
        <w:tc>
          <w:tcPr>
            <w:tcW w:w="418" w:type="dxa"/>
          </w:tcPr>
          <w:p w14:paraId="55F7235A" w14:textId="77777777" w:rsidR="007157A6" w:rsidRPr="007157A6" w:rsidRDefault="007157A6" w:rsidP="007157A6">
            <w:pPr>
              <w:rPr>
                <w:lang w:val="en-GB"/>
              </w:rPr>
            </w:pPr>
          </w:p>
        </w:tc>
        <w:tc>
          <w:tcPr>
            <w:tcW w:w="418" w:type="dxa"/>
          </w:tcPr>
          <w:p w14:paraId="0514242B" w14:textId="77777777" w:rsidR="007157A6" w:rsidRPr="007157A6" w:rsidRDefault="007157A6" w:rsidP="007157A6">
            <w:pPr>
              <w:rPr>
                <w:lang w:val="en-GB"/>
              </w:rPr>
            </w:pPr>
          </w:p>
        </w:tc>
        <w:tc>
          <w:tcPr>
            <w:tcW w:w="418" w:type="dxa"/>
          </w:tcPr>
          <w:p w14:paraId="70BC2B62" w14:textId="77777777" w:rsidR="007157A6" w:rsidRPr="007157A6" w:rsidRDefault="007157A6" w:rsidP="007157A6">
            <w:pPr>
              <w:rPr>
                <w:lang w:val="en-GB"/>
              </w:rPr>
            </w:pPr>
          </w:p>
        </w:tc>
        <w:tc>
          <w:tcPr>
            <w:tcW w:w="419" w:type="dxa"/>
          </w:tcPr>
          <w:p w14:paraId="7DD93D6B" w14:textId="77777777" w:rsidR="007157A6" w:rsidRPr="007157A6" w:rsidRDefault="007157A6" w:rsidP="007157A6">
            <w:pPr>
              <w:rPr>
                <w:lang w:val="en-GB"/>
              </w:rPr>
            </w:pPr>
          </w:p>
        </w:tc>
      </w:tr>
      <w:tr w:rsidR="007157A6" w:rsidRPr="007157A6" w14:paraId="7865E97F" w14:textId="77777777" w:rsidTr="00C850ED">
        <w:tc>
          <w:tcPr>
            <w:tcW w:w="8642" w:type="dxa"/>
            <w:vMerge/>
          </w:tcPr>
          <w:p w14:paraId="76866BED" w14:textId="77777777" w:rsidR="007157A6" w:rsidRPr="007157A6" w:rsidRDefault="007157A6" w:rsidP="007157A6">
            <w:pPr>
              <w:rPr>
                <w:lang w:val="en-GB"/>
              </w:rPr>
            </w:pPr>
          </w:p>
        </w:tc>
        <w:tc>
          <w:tcPr>
            <w:tcW w:w="3544" w:type="dxa"/>
          </w:tcPr>
          <w:p w14:paraId="1DE75058" w14:textId="77777777" w:rsidR="007157A6" w:rsidRPr="007157A6" w:rsidRDefault="007157A6" w:rsidP="007157A6">
            <w:pPr>
              <w:rPr>
                <w:lang w:val="en-GB"/>
              </w:rPr>
            </w:pPr>
            <w:r w:rsidRPr="007157A6">
              <w:rPr>
                <w:lang w:val="en-GB"/>
              </w:rPr>
              <w:t>Practicability</w:t>
            </w:r>
          </w:p>
        </w:tc>
        <w:tc>
          <w:tcPr>
            <w:tcW w:w="418" w:type="dxa"/>
          </w:tcPr>
          <w:p w14:paraId="4E021383" w14:textId="77777777" w:rsidR="007157A6" w:rsidRPr="007157A6" w:rsidRDefault="007157A6" w:rsidP="007157A6">
            <w:pPr>
              <w:rPr>
                <w:lang w:val="en-GB"/>
              </w:rPr>
            </w:pPr>
          </w:p>
        </w:tc>
        <w:tc>
          <w:tcPr>
            <w:tcW w:w="418" w:type="dxa"/>
          </w:tcPr>
          <w:p w14:paraId="40B376BC" w14:textId="77777777" w:rsidR="007157A6" w:rsidRPr="007157A6" w:rsidRDefault="007157A6" w:rsidP="007157A6">
            <w:pPr>
              <w:rPr>
                <w:lang w:val="en-GB"/>
              </w:rPr>
            </w:pPr>
          </w:p>
        </w:tc>
        <w:tc>
          <w:tcPr>
            <w:tcW w:w="418" w:type="dxa"/>
          </w:tcPr>
          <w:p w14:paraId="3FDEE496" w14:textId="77777777" w:rsidR="007157A6" w:rsidRPr="007157A6" w:rsidRDefault="007157A6" w:rsidP="007157A6">
            <w:pPr>
              <w:rPr>
                <w:lang w:val="en-GB"/>
              </w:rPr>
            </w:pPr>
          </w:p>
        </w:tc>
        <w:tc>
          <w:tcPr>
            <w:tcW w:w="418" w:type="dxa"/>
          </w:tcPr>
          <w:p w14:paraId="64F4239C" w14:textId="77777777" w:rsidR="007157A6" w:rsidRPr="007157A6" w:rsidRDefault="007157A6" w:rsidP="007157A6">
            <w:pPr>
              <w:rPr>
                <w:lang w:val="en-GB"/>
              </w:rPr>
            </w:pPr>
          </w:p>
        </w:tc>
        <w:tc>
          <w:tcPr>
            <w:tcW w:w="419" w:type="dxa"/>
          </w:tcPr>
          <w:p w14:paraId="0506FEB4" w14:textId="77777777" w:rsidR="007157A6" w:rsidRPr="007157A6" w:rsidRDefault="007157A6" w:rsidP="007157A6">
            <w:pPr>
              <w:rPr>
                <w:lang w:val="en-GB"/>
              </w:rPr>
            </w:pPr>
          </w:p>
        </w:tc>
      </w:tr>
      <w:tr w:rsidR="007157A6" w:rsidRPr="007157A6" w14:paraId="5A60A05F" w14:textId="77777777" w:rsidTr="00C850ED">
        <w:tc>
          <w:tcPr>
            <w:tcW w:w="8642" w:type="dxa"/>
            <w:vMerge/>
          </w:tcPr>
          <w:p w14:paraId="78BBB07C" w14:textId="77777777" w:rsidR="007157A6" w:rsidRPr="007157A6" w:rsidRDefault="007157A6" w:rsidP="007157A6">
            <w:pPr>
              <w:rPr>
                <w:lang w:val="en-GB"/>
              </w:rPr>
            </w:pPr>
          </w:p>
        </w:tc>
        <w:tc>
          <w:tcPr>
            <w:tcW w:w="3544" w:type="dxa"/>
          </w:tcPr>
          <w:p w14:paraId="536E6EEB"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EA22089" w14:textId="77777777" w:rsidR="007157A6" w:rsidRPr="007157A6" w:rsidRDefault="007157A6" w:rsidP="007157A6">
            <w:pPr>
              <w:rPr>
                <w:lang w:val="en-GB"/>
              </w:rPr>
            </w:pPr>
          </w:p>
        </w:tc>
        <w:tc>
          <w:tcPr>
            <w:tcW w:w="418" w:type="dxa"/>
          </w:tcPr>
          <w:p w14:paraId="3CC70894" w14:textId="77777777" w:rsidR="007157A6" w:rsidRPr="007157A6" w:rsidRDefault="007157A6" w:rsidP="007157A6">
            <w:pPr>
              <w:rPr>
                <w:lang w:val="en-GB"/>
              </w:rPr>
            </w:pPr>
          </w:p>
        </w:tc>
        <w:tc>
          <w:tcPr>
            <w:tcW w:w="418" w:type="dxa"/>
          </w:tcPr>
          <w:p w14:paraId="3AA0E351" w14:textId="77777777" w:rsidR="007157A6" w:rsidRPr="007157A6" w:rsidRDefault="007157A6" w:rsidP="007157A6">
            <w:pPr>
              <w:rPr>
                <w:lang w:val="en-GB"/>
              </w:rPr>
            </w:pPr>
          </w:p>
        </w:tc>
        <w:tc>
          <w:tcPr>
            <w:tcW w:w="418" w:type="dxa"/>
          </w:tcPr>
          <w:p w14:paraId="493D7431" w14:textId="77777777" w:rsidR="007157A6" w:rsidRPr="007157A6" w:rsidRDefault="007157A6" w:rsidP="007157A6">
            <w:pPr>
              <w:rPr>
                <w:lang w:val="en-GB"/>
              </w:rPr>
            </w:pPr>
          </w:p>
        </w:tc>
        <w:tc>
          <w:tcPr>
            <w:tcW w:w="419" w:type="dxa"/>
          </w:tcPr>
          <w:p w14:paraId="559F4681" w14:textId="77777777" w:rsidR="007157A6" w:rsidRPr="007157A6" w:rsidRDefault="007157A6" w:rsidP="007157A6">
            <w:pPr>
              <w:rPr>
                <w:lang w:val="en-GB"/>
              </w:rPr>
            </w:pPr>
          </w:p>
        </w:tc>
      </w:tr>
    </w:tbl>
    <w:p w14:paraId="47F550BA" w14:textId="77777777" w:rsidR="00396D4C" w:rsidRDefault="00396D4C"/>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6023DBDC" w14:textId="77777777" w:rsidTr="00C850ED">
        <w:tc>
          <w:tcPr>
            <w:tcW w:w="8642" w:type="dxa"/>
            <w:shd w:val="clear" w:color="auto" w:fill="D9D9D9" w:themeFill="background1" w:themeFillShade="D9"/>
          </w:tcPr>
          <w:p w14:paraId="2926BED9" w14:textId="77777777" w:rsidR="007157A6" w:rsidRPr="007157A6" w:rsidRDefault="007157A6" w:rsidP="007157A6">
            <w:pPr>
              <w:rPr>
                <w:b/>
                <w:lang w:val="en-GB"/>
              </w:rPr>
            </w:pPr>
            <w:r w:rsidRPr="007157A6">
              <w:rPr>
                <w:b/>
                <w:lang w:val="en-GB"/>
              </w:rPr>
              <w:lastRenderedPageBreak/>
              <w:t>Approach to action</w:t>
            </w:r>
          </w:p>
        </w:tc>
        <w:tc>
          <w:tcPr>
            <w:tcW w:w="3544" w:type="dxa"/>
            <w:shd w:val="clear" w:color="auto" w:fill="D9D9D9" w:themeFill="background1" w:themeFillShade="D9"/>
          </w:tcPr>
          <w:p w14:paraId="4E74450D"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5D89E2BB"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DCC0610"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67115D64"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2038AD68"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39612DB9" w14:textId="77777777" w:rsidR="007157A6" w:rsidRPr="007157A6" w:rsidRDefault="007157A6" w:rsidP="007157A6">
            <w:pPr>
              <w:rPr>
                <w:b/>
                <w:lang w:val="en-GB"/>
              </w:rPr>
            </w:pPr>
            <w:r w:rsidRPr="007157A6">
              <w:rPr>
                <w:b/>
                <w:lang w:val="en-GB"/>
              </w:rPr>
              <w:t>1</w:t>
            </w:r>
          </w:p>
        </w:tc>
      </w:tr>
      <w:tr w:rsidR="007157A6" w:rsidRPr="007157A6" w14:paraId="299673A4" w14:textId="77777777" w:rsidTr="00C850ED">
        <w:trPr>
          <w:trHeight w:val="537"/>
        </w:trPr>
        <w:tc>
          <w:tcPr>
            <w:tcW w:w="8642" w:type="dxa"/>
            <w:vMerge w:val="restart"/>
          </w:tcPr>
          <w:p w14:paraId="5AB675F7" w14:textId="77777777" w:rsidR="007157A6" w:rsidRPr="007157A6" w:rsidRDefault="007157A6" w:rsidP="007157A6">
            <w:pPr>
              <w:rPr>
                <w:lang w:val="en-GB"/>
              </w:rPr>
            </w:pPr>
            <w:r w:rsidRPr="007157A6">
              <w:rPr>
                <w:lang w:val="en-GB"/>
              </w:rPr>
              <w:t>Continue to develop both duties and requirements in corporate management and accounting in a timely manner to bring about an adequate understanding of sustainability and sustainable action. This includes establishing expertise regarding sustainability in the formal corporate bodies (management board, executive management, board of directors, supervisory board), as well as considering sustainability factors e.g. in the remuneration structure, in assessments of the professional competence of financial institutions’ managing directors and in connection with appointments to supervisory bodies.</w:t>
            </w:r>
          </w:p>
        </w:tc>
        <w:tc>
          <w:tcPr>
            <w:tcW w:w="3544" w:type="dxa"/>
          </w:tcPr>
          <w:p w14:paraId="24D865EA" w14:textId="77777777" w:rsidR="007157A6" w:rsidRPr="007157A6" w:rsidRDefault="007157A6" w:rsidP="007157A6">
            <w:pPr>
              <w:rPr>
                <w:lang w:val="en-GB"/>
              </w:rPr>
            </w:pPr>
            <w:r w:rsidRPr="007157A6">
              <w:rPr>
                <w:lang w:val="en-GB"/>
              </w:rPr>
              <w:t>Will foster Sustainable Finance in Germany</w:t>
            </w:r>
          </w:p>
        </w:tc>
        <w:tc>
          <w:tcPr>
            <w:tcW w:w="418" w:type="dxa"/>
          </w:tcPr>
          <w:p w14:paraId="1CCA8C0A" w14:textId="77777777" w:rsidR="007157A6" w:rsidRPr="007157A6" w:rsidRDefault="007157A6" w:rsidP="007157A6">
            <w:pPr>
              <w:rPr>
                <w:lang w:val="en-GB"/>
              </w:rPr>
            </w:pPr>
          </w:p>
        </w:tc>
        <w:tc>
          <w:tcPr>
            <w:tcW w:w="418" w:type="dxa"/>
          </w:tcPr>
          <w:p w14:paraId="216B20CB" w14:textId="77777777" w:rsidR="007157A6" w:rsidRPr="007157A6" w:rsidRDefault="007157A6" w:rsidP="007157A6">
            <w:pPr>
              <w:rPr>
                <w:lang w:val="en-GB"/>
              </w:rPr>
            </w:pPr>
          </w:p>
        </w:tc>
        <w:tc>
          <w:tcPr>
            <w:tcW w:w="418" w:type="dxa"/>
          </w:tcPr>
          <w:p w14:paraId="25D5D853" w14:textId="77777777" w:rsidR="007157A6" w:rsidRPr="007157A6" w:rsidRDefault="007157A6" w:rsidP="007157A6">
            <w:pPr>
              <w:rPr>
                <w:lang w:val="en-GB"/>
              </w:rPr>
            </w:pPr>
          </w:p>
        </w:tc>
        <w:tc>
          <w:tcPr>
            <w:tcW w:w="418" w:type="dxa"/>
          </w:tcPr>
          <w:p w14:paraId="17D8B40F" w14:textId="77777777" w:rsidR="007157A6" w:rsidRPr="007157A6" w:rsidRDefault="007157A6" w:rsidP="007157A6">
            <w:pPr>
              <w:rPr>
                <w:lang w:val="en-GB"/>
              </w:rPr>
            </w:pPr>
          </w:p>
        </w:tc>
        <w:tc>
          <w:tcPr>
            <w:tcW w:w="419" w:type="dxa"/>
          </w:tcPr>
          <w:p w14:paraId="6F8056FF" w14:textId="77777777" w:rsidR="007157A6" w:rsidRPr="007157A6" w:rsidRDefault="007157A6" w:rsidP="007157A6">
            <w:pPr>
              <w:rPr>
                <w:lang w:val="en-GB"/>
              </w:rPr>
            </w:pPr>
          </w:p>
        </w:tc>
      </w:tr>
      <w:tr w:rsidR="007157A6" w:rsidRPr="007157A6" w14:paraId="753FF7CB" w14:textId="77777777" w:rsidTr="00C850ED">
        <w:trPr>
          <w:trHeight w:val="537"/>
        </w:trPr>
        <w:tc>
          <w:tcPr>
            <w:tcW w:w="8642" w:type="dxa"/>
            <w:vMerge/>
          </w:tcPr>
          <w:p w14:paraId="0BDF2FED" w14:textId="77777777" w:rsidR="007157A6" w:rsidRPr="007157A6" w:rsidRDefault="007157A6" w:rsidP="007157A6">
            <w:pPr>
              <w:rPr>
                <w:lang w:val="en-GB"/>
              </w:rPr>
            </w:pPr>
          </w:p>
        </w:tc>
        <w:tc>
          <w:tcPr>
            <w:tcW w:w="3544" w:type="dxa"/>
          </w:tcPr>
          <w:p w14:paraId="0C3E464E" w14:textId="77777777" w:rsidR="007157A6" w:rsidRPr="007157A6" w:rsidRDefault="007157A6" w:rsidP="007157A6">
            <w:pPr>
              <w:rPr>
                <w:lang w:val="en-GB"/>
              </w:rPr>
            </w:pPr>
            <w:r w:rsidRPr="007157A6">
              <w:rPr>
                <w:lang w:val="en-GB"/>
              </w:rPr>
              <w:t>Level of ambition</w:t>
            </w:r>
          </w:p>
        </w:tc>
        <w:tc>
          <w:tcPr>
            <w:tcW w:w="418" w:type="dxa"/>
          </w:tcPr>
          <w:p w14:paraId="4C1BE272" w14:textId="77777777" w:rsidR="007157A6" w:rsidRPr="007157A6" w:rsidRDefault="007157A6" w:rsidP="007157A6">
            <w:pPr>
              <w:rPr>
                <w:lang w:val="en-GB"/>
              </w:rPr>
            </w:pPr>
          </w:p>
        </w:tc>
        <w:tc>
          <w:tcPr>
            <w:tcW w:w="418" w:type="dxa"/>
          </w:tcPr>
          <w:p w14:paraId="64CB0D86" w14:textId="77777777" w:rsidR="007157A6" w:rsidRPr="007157A6" w:rsidRDefault="007157A6" w:rsidP="007157A6">
            <w:pPr>
              <w:rPr>
                <w:lang w:val="en-GB"/>
              </w:rPr>
            </w:pPr>
          </w:p>
        </w:tc>
        <w:tc>
          <w:tcPr>
            <w:tcW w:w="418" w:type="dxa"/>
          </w:tcPr>
          <w:p w14:paraId="5CD2ACEA" w14:textId="77777777" w:rsidR="007157A6" w:rsidRPr="007157A6" w:rsidRDefault="007157A6" w:rsidP="007157A6">
            <w:pPr>
              <w:rPr>
                <w:lang w:val="en-GB"/>
              </w:rPr>
            </w:pPr>
          </w:p>
        </w:tc>
        <w:tc>
          <w:tcPr>
            <w:tcW w:w="418" w:type="dxa"/>
          </w:tcPr>
          <w:p w14:paraId="194061AE" w14:textId="77777777" w:rsidR="007157A6" w:rsidRPr="007157A6" w:rsidRDefault="007157A6" w:rsidP="007157A6">
            <w:pPr>
              <w:rPr>
                <w:lang w:val="en-GB"/>
              </w:rPr>
            </w:pPr>
          </w:p>
        </w:tc>
        <w:tc>
          <w:tcPr>
            <w:tcW w:w="419" w:type="dxa"/>
          </w:tcPr>
          <w:p w14:paraId="55F00D6D" w14:textId="77777777" w:rsidR="007157A6" w:rsidRPr="007157A6" w:rsidRDefault="007157A6" w:rsidP="007157A6">
            <w:pPr>
              <w:rPr>
                <w:lang w:val="en-GB"/>
              </w:rPr>
            </w:pPr>
          </w:p>
        </w:tc>
      </w:tr>
      <w:tr w:rsidR="007157A6" w:rsidRPr="007157A6" w14:paraId="0104E650" w14:textId="77777777" w:rsidTr="00C850ED">
        <w:trPr>
          <w:trHeight w:val="537"/>
        </w:trPr>
        <w:tc>
          <w:tcPr>
            <w:tcW w:w="8642" w:type="dxa"/>
            <w:vMerge/>
          </w:tcPr>
          <w:p w14:paraId="321227D9" w14:textId="77777777" w:rsidR="007157A6" w:rsidRPr="007157A6" w:rsidRDefault="007157A6" w:rsidP="007157A6">
            <w:pPr>
              <w:rPr>
                <w:lang w:val="en-GB"/>
              </w:rPr>
            </w:pPr>
          </w:p>
        </w:tc>
        <w:tc>
          <w:tcPr>
            <w:tcW w:w="3544" w:type="dxa"/>
          </w:tcPr>
          <w:p w14:paraId="7D8F8878" w14:textId="77777777" w:rsidR="007157A6" w:rsidRPr="007157A6" w:rsidRDefault="007157A6" w:rsidP="007157A6">
            <w:pPr>
              <w:rPr>
                <w:lang w:val="en-GB"/>
              </w:rPr>
            </w:pPr>
            <w:r w:rsidRPr="007157A6">
              <w:rPr>
                <w:lang w:val="en-GB"/>
              </w:rPr>
              <w:t>Practicability</w:t>
            </w:r>
          </w:p>
        </w:tc>
        <w:tc>
          <w:tcPr>
            <w:tcW w:w="418" w:type="dxa"/>
          </w:tcPr>
          <w:p w14:paraId="06735F3B" w14:textId="77777777" w:rsidR="007157A6" w:rsidRPr="007157A6" w:rsidRDefault="007157A6" w:rsidP="007157A6">
            <w:pPr>
              <w:rPr>
                <w:lang w:val="en-GB"/>
              </w:rPr>
            </w:pPr>
          </w:p>
        </w:tc>
        <w:tc>
          <w:tcPr>
            <w:tcW w:w="418" w:type="dxa"/>
          </w:tcPr>
          <w:p w14:paraId="131902D3" w14:textId="77777777" w:rsidR="007157A6" w:rsidRPr="007157A6" w:rsidRDefault="007157A6" w:rsidP="007157A6">
            <w:pPr>
              <w:rPr>
                <w:lang w:val="en-GB"/>
              </w:rPr>
            </w:pPr>
          </w:p>
        </w:tc>
        <w:tc>
          <w:tcPr>
            <w:tcW w:w="418" w:type="dxa"/>
          </w:tcPr>
          <w:p w14:paraId="418E0875" w14:textId="77777777" w:rsidR="007157A6" w:rsidRPr="007157A6" w:rsidRDefault="007157A6" w:rsidP="007157A6">
            <w:pPr>
              <w:rPr>
                <w:lang w:val="en-GB"/>
              </w:rPr>
            </w:pPr>
          </w:p>
        </w:tc>
        <w:tc>
          <w:tcPr>
            <w:tcW w:w="418" w:type="dxa"/>
          </w:tcPr>
          <w:p w14:paraId="00E74600" w14:textId="77777777" w:rsidR="007157A6" w:rsidRPr="007157A6" w:rsidRDefault="007157A6" w:rsidP="007157A6">
            <w:pPr>
              <w:rPr>
                <w:lang w:val="en-GB"/>
              </w:rPr>
            </w:pPr>
          </w:p>
        </w:tc>
        <w:tc>
          <w:tcPr>
            <w:tcW w:w="419" w:type="dxa"/>
          </w:tcPr>
          <w:p w14:paraId="43752B24" w14:textId="77777777" w:rsidR="007157A6" w:rsidRPr="007157A6" w:rsidRDefault="007157A6" w:rsidP="007157A6">
            <w:pPr>
              <w:rPr>
                <w:lang w:val="en-GB"/>
              </w:rPr>
            </w:pPr>
          </w:p>
        </w:tc>
      </w:tr>
      <w:tr w:rsidR="007157A6" w:rsidRPr="007157A6" w14:paraId="7905C60C" w14:textId="77777777" w:rsidTr="00C850ED">
        <w:trPr>
          <w:trHeight w:val="537"/>
        </w:trPr>
        <w:tc>
          <w:tcPr>
            <w:tcW w:w="8642" w:type="dxa"/>
            <w:vMerge/>
          </w:tcPr>
          <w:p w14:paraId="34044F06" w14:textId="77777777" w:rsidR="007157A6" w:rsidRPr="007157A6" w:rsidRDefault="007157A6" w:rsidP="007157A6">
            <w:pPr>
              <w:rPr>
                <w:lang w:val="en-GB"/>
              </w:rPr>
            </w:pPr>
          </w:p>
        </w:tc>
        <w:tc>
          <w:tcPr>
            <w:tcW w:w="3544" w:type="dxa"/>
          </w:tcPr>
          <w:p w14:paraId="2458695B"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ECE94AC" w14:textId="77777777" w:rsidR="007157A6" w:rsidRPr="007157A6" w:rsidRDefault="007157A6" w:rsidP="007157A6">
            <w:pPr>
              <w:rPr>
                <w:lang w:val="en-GB"/>
              </w:rPr>
            </w:pPr>
          </w:p>
        </w:tc>
        <w:tc>
          <w:tcPr>
            <w:tcW w:w="418" w:type="dxa"/>
          </w:tcPr>
          <w:p w14:paraId="062A6D0E" w14:textId="77777777" w:rsidR="007157A6" w:rsidRPr="007157A6" w:rsidRDefault="007157A6" w:rsidP="007157A6">
            <w:pPr>
              <w:rPr>
                <w:lang w:val="en-GB"/>
              </w:rPr>
            </w:pPr>
          </w:p>
        </w:tc>
        <w:tc>
          <w:tcPr>
            <w:tcW w:w="418" w:type="dxa"/>
          </w:tcPr>
          <w:p w14:paraId="24A676CC" w14:textId="77777777" w:rsidR="007157A6" w:rsidRPr="007157A6" w:rsidRDefault="007157A6" w:rsidP="007157A6">
            <w:pPr>
              <w:rPr>
                <w:lang w:val="en-GB"/>
              </w:rPr>
            </w:pPr>
          </w:p>
        </w:tc>
        <w:tc>
          <w:tcPr>
            <w:tcW w:w="418" w:type="dxa"/>
          </w:tcPr>
          <w:p w14:paraId="2128393E" w14:textId="77777777" w:rsidR="007157A6" w:rsidRPr="007157A6" w:rsidRDefault="007157A6" w:rsidP="007157A6">
            <w:pPr>
              <w:rPr>
                <w:lang w:val="en-GB"/>
              </w:rPr>
            </w:pPr>
          </w:p>
        </w:tc>
        <w:tc>
          <w:tcPr>
            <w:tcW w:w="419" w:type="dxa"/>
          </w:tcPr>
          <w:p w14:paraId="1F28BDCB" w14:textId="77777777" w:rsidR="007157A6" w:rsidRPr="007157A6" w:rsidRDefault="007157A6" w:rsidP="007157A6">
            <w:pPr>
              <w:rPr>
                <w:lang w:val="en-GB"/>
              </w:rPr>
            </w:pPr>
          </w:p>
        </w:tc>
      </w:tr>
      <w:tr w:rsidR="007157A6" w:rsidRPr="007157A6" w14:paraId="5DAD0CF5" w14:textId="77777777" w:rsidTr="00C850ED">
        <w:tc>
          <w:tcPr>
            <w:tcW w:w="8642" w:type="dxa"/>
            <w:shd w:val="clear" w:color="auto" w:fill="D9D9D9" w:themeFill="background1" w:themeFillShade="D9"/>
          </w:tcPr>
          <w:p w14:paraId="6D8BA820"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1BDD7E0"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B0F76C8"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6B4C984B"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47B5394"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A4248FB"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BF69489" w14:textId="77777777" w:rsidR="007157A6" w:rsidRPr="007157A6" w:rsidRDefault="007157A6" w:rsidP="007157A6">
            <w:pPr>
              <w:rPr>
                <w:lang w:val="en-GB"/>
              </w:rPr>
            </w:pPr>
            <w:r w:rsidRPr="007157A6">
              <w:rPr>
                <w:b/>
                <w:lang w:val="en-GB"/>
              </w:rPr>
              <w:t>1</w:t>
            </w:r>
          </w:p>
        </w:tc>
      </w:tr>
      <w:tr w:rsidR="007157A6" w:rsidRPr="007157A6" w14:paraId="55F4B47B" w14:textId="77777777" w:rsidTr="00C850ED">
        <w:tc>
          <w:tcPr>
            <w:tcW w:w="8642" w:type="dxa"/>
            <w:vMerge w:val="restart"/>
          </w:tcPr>
          <w:p w14:paraId="52D6EDE4" w14:textId="77777777" w:rsidR="007157A6" w:rsidRPr="007157A6" w:rsidRDefault="007157A6" w:rsidP="007157A6">
            <w:pPr>
              <w:rPr>
                <w:lang w:val="en-GB"/>
              </w:rPr>
            </w:pPr>
            <w:r w:rsidRPr="007157A6">
              <w:rPr>
                <w:lang w:val="en-GB"/>
              </w:rPr>
              <w:t>Ensure that financial industry executives possess extensive insight into the link between sustainable transformation and a company’s performance. One conceivable option is for them to complete respective additional training as a prerequisite for obtaining their license to work as managing directors.</w:t>
            </w:r>
          </w:p>
        </w:tc>
        <w:tc>
          <w:tcPr>
            <w:tcW w:w="3544" w:type="dxa"/>
          </w:tcPr>
          <w:p w14:paraId="1A712A55" w14:textId="77777777" w:rsidR="007157A6" w:rsidRPr="007157A6" w:rsidRDefault="007157A6" w:rsidP="007157A6">
            <w:pPr>
              <w:rPr>
                <w:lang w:val="en-GB"/>
              </w:rPr>
            </w:pPr>
            <w:r w:rsidRPr="007157A6">
              <w:rPr>
                <w:lang w:val="en-GB"/>
              </w:rPr>
              <w:t>Will foster Sustainable Finance in Germany</w:t>
            </w:r>
          </w:p>
        </w:tc>
        <w:tc>
          <w:tcPr>
            <w:tcW w:w="418" w:type="dxa"/>
          </w:tcPr>
          <w:p w14:paraId="0271C4F1" w14:textId="77777777" w:rsidR="007157A6" w:rsidRPr="007157A6" w:rsidRDefault="007157A6" w:rsidP="007157A6">
            <w:pPr>
              <w:rPr>
                <w:lang w:val="en-GB"/>
              </w:rPr>
            </w:pPr>
          </w:p>
        </w:tc>
        <w:tc>
          <w:tcPr>
            <w:tcW w:w="418" w:type="dxa"/>
          </w:tcPr>
          <w:p w14:paraId="619CFEA8" w14:textId="77777777" w:rsidR="007157A6" w:rsidRPr="007157A6" w:rsidRDefault="007157A6" w:rsidP="007157A6">
            <w:pPr>
              <w:rPr>
                <w:lang w:val="en-GB"/>
              </w:rPr>
            </w:pPr>
          </w:p>
        </w:tc>
        <w:tc>
          <w:tcPr>
            <w:tcW w:w="418" w:type="dxa"/>
          </w:tcPr>
          <w:p w14:paraId="5EE25A35" w14:textId="77777777" w:rsidR="007157A6" w:rsidRPr="007157A6" w:rsidRDefault="007157A6" w:rsidP="007157A6">
            <w:pPr>
              <w:rPr>
                <w:lang w:val="en-GB"/>
              </w:rPr>
            </w:pPr>
          </w:p>
        </w:tc>
        <w:tc>
          <w:tcPr>
            <w:tcW w:w="418" w:type="dxa"/>
          </w:tcPr>
          <w:p w14:paraId="2CAB98AB" w14:textId="77777777" w:rsidR="007157A6" w:rsidRPr="007157A6" w:rsidRDefault="007157A6" w:rsidP="007157A6">
            <w:pPr>
              <w:rPr>
                <w:lang w:val="en-GB"/>
              </w:rPr>
            </w:pPr>
          </w:p>
        </w:tc>
        <w:tc>
          <w:tcPr>
            <w:tcW w:w="419" w:type="dxa"/>
          </w:tcPr>
          <w:p w14:paraId="4E0CA3CC" w14:textId="77777777" w:rsidR="007157A6" w:rsidRPr="007157A6" w:rsidRDefault="007157A6" w:rsidP="007157A6">
            <w:pPr>
              <w:rPr>
                <w:lang w:val="en-GB"/>
              </w:rPr>
            </w:pPr>
          </w:p>
        </w:tc>
      </w:tr>
      <w:tr w:rsidR="007157A6" w:rsidRPr="007157A6" w14:paraId="3EC753F1" w14:textId="77777777" w:rsidTr="00C850ED">
        <w:tc>
          <w:tcPr>
            <w:tcW w:w="8642" w:type="dxa"/>
            <w:vMerge/>
          </w:tcPr>
          <w:p w14:paraId="27BCB7B0" w14:textId="77777777" w:rsidR="007157A6" w:rsidRPr="007157A6" w:rsidRDefault="007157A6" w:rsidP="007157A6">
            <w:pPr>
              <w:rPr>
                <w:lang w:val="en-GB"/>
              </w:rPr>
            </w:pPr>
          </w:p>
        </w:tc>
        <w:tc>
          <w:tcPr>
            <w:tcW w:w="3544" w:type="dxa"/>
          </w:tcPr>
          <w:p w14:paraId="0DDFAF16" w14:textId="77777777" w:rsidR="007157A6" w:rsidRPr="007157A6" w:rsidRDefault="007157A6" w:rsidP="007157A6">
            <w:pPr>
              <w:rPr>
                <w:lang w:val="en-GB"/>
              </w:rPr>
            </w:pPr>
            <w:r w:rsidRPr="007157A6">
              <w:rPr>
                <w:lang w:val="en-GB"/>
              </w:rPr>
              <w:t>Level of ambition</w:t>
            </w:r>
          </w:p>
        </w:tc>
        <w:tc>
          <w:tcPr>
            <w:tcW w:w="418" w:type="dxa"/>
          </w:tcPr>
          <w:p w14:paraId="594C91CB" w14:textId="77777777" w:rsidR="007157A6" w:rsidRPr="007157A6" w:rsidRDefault="007157A6" w:rsidP="007157A6">
            <w:pPr>
              <w:rPr>
                <w:lang w:val="en-GB"/>
              </w:rPr>
            </w:pPr>
          </w:p>
        </w:tc>
        <w:tc>
          <w:tcPr>
            <w:tcW w:w="418" w:type="dxa"/>
          </w:tcPr>
          <w:p w14:paraId="6981F86D" w14:textId="77777777" w:rsidR="007157A6" w:rsidRPr="007157A6" w:rsidRDefault="007157A6" w:rsidP="007157A6">
            <w:pPr>
              <w:rPr>
                <w:lang w:val="en-GB"/>
              </w:rPr>
            </w:pPr>
          </w:p>
        </w:tc>
        <w:tc>
          <w:tcPr>
            <w:tcW w:w="418" w:type="dxa"/>
          </w:tcPr>
          <w:p w14:paraId="3A246C14" w14:textId="77777777" w:rsidR="007157A6" w:rsidRPr="007157A6" w:rsidRDefault="007157A6" w:rsidP="007157A6">
            <w:pPr>
              <w:rPr>
                <w:lang w:val="en-GB"/>
              </w:rPr>
            </w:pPr>
          </w:p>
        </w:tc>
        <w:tc>
          <w:tcPr>
            <w:tcW w:w="418" w:type="dxa"/>
          </w:tcPr>
          <w:p w14:paraId="2253061F" w14:textId="77777777" w:rsidR="007157A6" w:rsidRPr="007157A6" w:rsidRDefault="007157A6" w:rsidP="007157A6">
            <w:pPr>
              <w:rPr>
                <w:lang w:val="en-GB"/>
              </w:rPr>
            </w:pPr>
          </w:p>
        </w:tc>
        <w:tc>
          <w:tcPr>
            <w:tcW w:w="419" w:type="dxa"/>
          </w:tcPr>
          <w:p w14:paraId="661E9858" w14:textId="77777777" w:rsidR="007157A6" w:rsidRPr="007157A6" w:rsidRDefault="007157A6" w:rsidP="007157A6">
            <w:pPr>
              <w:rPr>
                <w:lang w:val="en-GB"/>
              </w:rPr>
            </w:pPr>
          </w:p>
        </w:tc>
      </w:tr>
      <w:tr w:rsidR="007157A6" w:rsidRPr="007157A6" w14:paraId="4B104D97" w14:textId="77777777" w:rsidTr="00C850ED">
        <w:tc>
          <w:tcPr>
            <w:tcW w:w="8642" w:type="dxa"/>
            <w:vMerge/>
          </w:tcPr>
          <w:p w14:paraId="7FEC1492" w14:textId="77777777" w:rsidR="007157A6" w:rsidRPr="007157A6" w:rsidRDefault="007157A6" w:rsidP="007157A6">
            <w:pPr>
              <w:rPr>
                <w:lang w:val="en-GB"/>
              </w:rPr>
            </w:pPr>
          </w:p>
        </w:tc>
        <w:tc>
          <w:tcPr>
            <w:tcW w:w="3544" w:type="dxa"/>
          </w:tcPr>
          <w:p w14:paraId="1EDE24F2" w14:textId="77777777" w:rsidR="007157A6" w:rsidRPr="007157A6" w:rsidRDefault="007157A6" w:rsidP="007157A6">
            <w:pPr>
              <w:rPr>
                <w:lang w:val="en-GB"/>
              </w:rPr>
            </w:pPr>
            <w:r w:rsidRPr="007157A6">
              <w:rPr>
                <w:lang w:val="en-GB"/>
              </w:rPr>
              <w:t>Practicability</w:t>
            </w:r>
          </w:p>
        </w:tc>
        <w:tc>
          <w:tcPr>
            <w:tcW w:w="418" w:type="dxa"/>
          </w:tcPr>
          <w:p w14:paraId="4B3C0DCA" w14:textId="77777777" w:rsidR="007157A6" w:rsidRPr="007157A6" w:rsidRDefault="007157A6" w:rsidP="007157A6">
            <w:pPr>
              <w:rPr>
                <w:lang w:val="en-GB"/>
              </w:rPr>
            </w:pPr>
          </w:p>
        </w:tc>
        <w:tc>
          <w:tcPr>
            <w:tcW w:w="418" w:type="dxa"/>
          </w:tcPr>
          <w:p w14:paraId="59E9C8DC" w14:textId="77777777" w:rsidR="007157A6" w:rsidRPr="007157A6" w:rsidRDefault="007157A6" w:rsidP="007157A6">
            <w:pPr>
              <w:rPr>
                <w:lang w:val="en-GB"/>
              </w:rPr>
            </w:pPr>
          </w:p>
        </w:tc>
        <w:tc>
          <w:tcPr>
            <w:tcW w:w="418" w:type="dxa"/>
          </w:tcPr>
          <w:p w14:paraId="78CB8EE3" w14:textId="77777777" w:rsidR="007157A6" w:rsidRPr="007157A6" w:rsidRDefault="007157A6" w:rsidP="007157A6">
            <w:pPr>
              <w:rPr>
                <w:lang w:val="en-GB"/>
              </w:rPr>
            </w:pPr>
          </w:p>
        </w:tc>
        <w:tc>
          <w:tcPr>
            <w:tcW w:w="418" w:type="dxa"/>
          </w:tcPr>
          <w:p w14:paraId="34359B0B" w14:textId="77777777" w:rsidR="007157A6" w:rsidRPr="007157A6" w:rsidRDefault="007157A6" w:rsidP="007157A6">
            <w:pPr>
              <w:rPr>
                <w:lang w:val="en-GB"/>
              </w:rPr>
            </w:pPr>
          </w:p>
        </w:tc>
        <w:tc>
          <w:tcPr>
            <w:tcW w:w="419" w:type="dxa"/>
          </w:tcPr>
          <w:p w14:paraId="0789C326" w14:textId="77777777" w:rsidR="007157A6" w:rsidRPr="007157A6" w:rsidRDefault="007157A6" w:rsidP="007157A6">
            <w:pPr>
              <w:rPr>
                <w:lang w:val="en-GB"/>
              </w:rPr>
            </w:pPr>
          </w:p>
        </w:tc>
      </w:tr>
      <w:tr w:rsidR="007157A6" w:rsidRPr="007157A6" w14:paraId="7EF8C913" w14:textId="77777777" w:rsidTr="00C850ED">
        <w:tc>
          <w:tcPr>
            <w:tcW w:w="8642" w:type="dxa"/>
            <w:vMerge/>
          </w:tcPr>
          <w:p w14:paraId="4B7D69F4" w14:textId="77777777" w:rsidR="007157A6" w:rsidRPr="007157A6" w:rsidRDefault="007157A6" w:rsidP="007157A6">
            <w:pPr>
              <w:rPr>
                <w:lang w:val="en-GB"/>
              </w:rPr>
            </w:pPr>
          </w:p>
        </w:tc>
        <w:tc>
          <w:tcPr>
            <w:tcW w:w="3544" w:type="dxa"/>
          </w:tcPr>
          <w:p w14:paraId="2556962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05CB07D9" w14:textId="77777777" w:rsidR="007157A6" w:rsidRPr="007157A6" w:rsidRDefault="007157A6" w:rsidP="007157A6">
            <w:pPr>
              <w:rPr>
                <w:lang w:val="en-GB"/>
              </w:rPr>
            </w:pPr>
          </w:p>
        </w:tc>
        <w:tc>
          <w:tcPr>
            <w:tcW w:w="418" w:type="dxa"/>
          </w:tcPr>
          <w:p w14:paraId="58F8D3B7" w14:textId="77777777" w:rsidR="007157A6" w:rsidRPr="007157A6" w:rsidRDefault="007157A6" w:rsidP="007157A6">
            <w:pPr>
              <w:rPr>
                <w:lang w:val="en-GB"/>
              </w:rPr>
            </w:pPr>
          </w:p>
        </w:tc>
        <w:tc>
          <w:tcPr>
            <w:tcW w:w="418" w:type="dxa"/>
          </w:tcPr>
          <w:p w14:paraId="5CDF030C" w14:textId="77777777" w:rsidR="007157A6" w:rsidRPr="007157A6" w:rsidRDefault="007157A6" w:rsidP="007157A6">
            <w:pPr>
              <w:rPr>
                <w:lang w:val="en-GB"/>
              </w:rPr>
            </w:pPr>
          </w:p>
        </w:tc>
        <w:tc>
          <w:tcPr>
            <w:tcW w:w="418" w:type="dxa"/>
          </w:tcPr>
          <w:p w14:paraId="7284CEF4" w14:textId="77777777" w:rsidR="007157A6" w:rsidRPr="007157A6" w:rsidRDefault="007157A6" w:rsidP="007157A6">
            <w:pPr>
              <w:rPr>
                <w:lang w:val="en-GB"/>
              </w:rPr>
            </w:pPr>
          </w:p>
        </w:tc>
        <w:tc>
          <w:tcPr>
            <w:tcW w:w="419" w:type="dxa"/>
          </w:tcPr>
          <w:p w14:paraId="6C04608C" w14:textId="77777777" w:rsidR="007157A6" w:rsidRPr="007157A6" w:rsidRDefault="007157A6" w:rsidP="007157A6">
            <w:pPr>
              <w:rPr>
                <w:lang w:val="en-GB"/>
              </w:rPr>
            </w:pPr>
          </w:p>
        </w:tc>
      </w:tr>
      <w:tr w:rsidR="007157A6" w:rsidRPr="007157A6" w14:paraId="48FF0716" w14:textId="77777777" w:rsidTr="00C850ED">
        <w:tc>
          <w:tcPr>
            <w:tcW w:w="8642" w:type="dxa"/>
            <w:shd w:val="clear" w:color="auto" w:fill="D9D9D9" w:themeFill="background1" w:themeFillShade="D9"/>
          </w:tcPr>
          <w:p w14:paraId="2946E599"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FE2F6A0"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11C1C02"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E6B684C"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498CF0D8"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F006204"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CBCFB3D" w14:textId="77777777" w:rsidR="007157A6" w:rsidRPr="007157A6" w:rsidRDefault="007157A6" w:rsidP="007157A6">
            <w:pPr>
              <w:rPr>
                <w:lang w:val="en-GB"/>
              </w:rPr>
            </w:pPr>
            <w:r w:rsidRPr="007157A6">
              <w:rPr>
                <w:b/>
                <w:lang w:val="en-GB"/>
              </w:rPr>
              <w:t>1</w:t>
            </w:r>
          </w:p>
        </w:tc>
      </w:tr>
      <w:tr w:rsidR="007157A6" w:rsidRPr="007157A6" w14:paraId="6A461EA1" w14:textId="77777777" w:rsidTr="00C850ED">
        <w:trPr>
          <w:trHeight w:val="537"/>
        </w:trPr>
        <w:tc>
          <w:tcPr>
            <w:tcW w:w="8642" w:type="dxa"/>
            <w:vMerge w:val="restart"/>
          </w:tcPr>
          <w:p w14:paraId="7ABFAC1C" w14:textId="77777777" w:rsidR="007157A6" w:rsidRPr="007157A6" w:rsidRDefault="007157A6" w:rsidP="007157A6">
            <w:pPr>
              <w:rPr>
                <w:lang w:val="en-GB"/>
              </w:rPr>
            </w:pPr>
            <w:proofErr w:type="spellStart"/>
            <w:r w:rsidRPr="007157A6">
              <w:rPr>
                <w:lang w:val="en-GB"/>
              </w:rPr>
              <w:t>BaFin</w:t>
            </w:r>
            <w:proofErr w:type="spellEnd"/>
            <w:r w:rsidRPr="007157A6">
              <w:rPr>
                <w:lang w:val="en-GB"/>
              </w:rPr>
              <w:t xml:space="preserve"> could issue guidelines or expand existing guidelines on the minimum qualifications and the evidencing thereof with respect to key functions at the operating level (below the executive management) in financial institutions – including portfolio management, credit assessment, risk management, compliance – so that sustainability expertise is expressly taken into account. Improving both guidance and quality assurance requires reviewing whether a whitelist or an accreditation process for qualification and continued education programmes (which also cover the topic of sustainability) is more effective.</w:t>
            </w:r>
          </w:p>
        </w:tc>
        <w:tc>
          <w:tcPr>
            <w:tcW w:w="3544" w:type="dxa"/>
          </w:tcPr>
          <w:p w14:paraId="263A9533" w14:textId="77777777" w:rsidR="007157A6" w:rsidRPr="007157A6" w:rsidRDefault="007157A6" w:rsidP="007157A6">
            <w:pPr>
              <w:rPr>
                <w:lang w:val="en-GB"/>
              </w:rPr>
            </w:pPr>
            <w:r w:rsidRPr="007157A6">
              <w:rPr>
                <w:lang w:val="en-GB"/>
              </w:rPr>
              <w:t>Will foster Sustainable Finance in Germany</w:t>
            </w:r>
          </w:p>
        </w:tc>
        <w:tc>
          <w:tcPr>
            <w:tcW w:w="418" w:type="dxa"/>
          </w:tcPr>
          <w:p w14:paraId="307A9614" w14:textId="77777777" w:rsidR="007157A6" w:rsidRPr="007157A6" w:rsidRDefault="007157A6" w:rsidP="007157A6">
            <w:pPr>
              <w:rPr>
                <w:lang w:val="en-GB"/>
              </w:rPr>
            </w:pPr>
          </w:p>
        </w:tc>
        <w:tc>
          <w:tcPr>
            <w:tcW w:w="418" w:type="dxa"/>
          </w:tcPr>
          <w:p w14:paraId="69DC3ADB" w14:textId="77777777" w:rsidR="007157A6" w:rsidRPr="007157A6" w:rsidRDefault="007157A6" w:rsidP="007157A6">
            <w:pPr>
              <w:rPr>
                <w:lang w:val="en-GB"/>
              </w:rPr>
            </w:pPr>
          </w:p>
        </w:tc>
        <w:tc>
          <w:tcPr>
            <w:tcW w:w="418" w:type="dxa"/>
          </w:tcPr>
          <w:p w14:paraId="40CAC93D" w14:textId="77777777" w:rsidR="007157A6" w:rsidRPr="007157A6" w:rsidRDefault="007157A6" w:rsidP="007157A6">
            <w:pPr>
              <w:rPr>
                <w:lang w:val="en-GB"/>
              </w:rPr>
            </w:pPr>
          </w:p>
        </w:tc>
        <w:tc>
          <w:tcPr>
            <w:tcW w:w="418" w:type="dxa"/>
          </w:tcPr>
          <w:p w14:paraId="3E96EF4B" w14:textId="77777777" w:rsidR="007157A6" w:rsidRPr="007157A6" w:rsidRDefault="007157A6" w:rsidP="007157A6">
            <w:pPr>
              <w:rPr>
                <w:lang w:val="en-GB"/>
              </w:rPr>
            </w:pPr>
          </w:p>
        </w:tc>
        <w:tc>
          <w:tcPr>
            <w:tcW w:w="419" w:type="dxa"/>
          </w:tcPr>
          <w:p w14:paraId="3F66EAAF" w14:textId="77777777" w:rsidR="007157A6" w:rsidRPr="007157A6" w:rsidRDefault="007157A6" w:rsidP="007157A6">
            <w:pPr>
              <w:rPr>
                <w:lang w:val="en-GB"/>
              </w:rPr>
            </w:pPr>
          </w:p>
        </w:tc>
      </w:tr>
      <w:tr w:rsidR="007157A6" w:rsidRPr="007157A6" w14:paraId="62AC1538" w14:textId="77777777" w:rsidTr="00C850ED">
        <w:trPr>
          <w:trHeight w:val="537"/>
        </w:trPr>
        <w:tc>
          <w:tcPr>
            <w:tcW w:w="8642" w:type="dxa"/>
            <w:vMerge/>
          </w:tcPr>
          <w:p w14:paraId="1F11E546" w14:textId="77777777" w:rsidR="007157A6" w:rsidRPr="007157A6" w:rsidRDefault="007157A6" w:rsidP="007157A6">
            <w:pPr>
              <w:rPr>
                <w:lang w:val="en-GB"/>
              </w:rPr>
            </w:pPr>
          </w:p>
        </w:tc>
        <w:tc>
          <w:tcPr>
            <w:tcW w:w="3544" w:type="dxa"/>
          </w:tcPr>
          <w:p w14:paraId="0C957FA8" w14:textId="77777777" w:rsidR="007157A6" w:rsidRPr="007157A6" w:rsidRDefault="007157A6" w:rsidP="007157A6">
            <w:pPr>
              <w:rPr>
                <w:lang w:val="en-GB"/>
              </w:rPr>
            </w:pPr>
            <w:r w:rsidRPr="007157A6">
              <w:rPr>
                <w:lang w:val="en-GB"/>
              </w:rPr>
              <w:t>Level of ambition</w:t>
            </w:r>
          </w:p>
        </w:tc>
        <w:tc>
          <w:tcPr>
            <w:tcW w:w="418" w:type="dxa"/>
          </w:tcPr>
          <w:p w14:paraId="5E4EFF9C" w14:textId="77777777" w:rsidR="007157A6" w:rsidRPr="007157A6" w:rsidRDefault="007157A6" w:rsidP="007157A6">
            <w:pPr>
              <w:rPr>
                <w:lang w:val="en-GB"/>
              </w:rPr>
            </w:pPr>
          </w:p>
        </w:tc>
        <w:tc>
          <w:tcPr>
            <w:tcW w:w="418" w:type="dxa"/>
          </w:tcPr>
          <w:p w14:paraId="17B0EAA0" w14:textId="77777777" w:rsidR="007157A6" w:rsidRPr="007157A6" w:rsidRDefault="007157A6" w:rsidP="007157A6">
            <w:pPr>
              <w:rPr>
                <w:lang w:val="en-GB"/>
              </w:rPr>
            </w:pPr>
          </w:p>
        </w:tc>
        <w:tc>
          <w:tcPr>
            <w:tcW w:w="418" w:type="dxa"/>
          </w:tcPr>
          <w:p w14:paraId="7925C5A0" w14:textId="77777777" w:rsidR="007157A6" w:rsidRPr="007157A6" w:rsidRDefault="007157A6" w:rsidP="007157A6">
            <w:pPr>
              <w:rPr>
                <w:lang w:val="en-GB"/>
              </w:rPr>
            </w:pPr>
          </w:p>
        </w:tc>
        <w:tc>
          <w:tcPr>
            <w:tcW w:w="418" w:type="dxa"/>
          </w:tcPr>
          <w:p w14:paraId="391B9299" w14:textId="77777777" w:rsidR="007157A6" w:rsidRPr="007157A6" w:rsidRDefault="007157A6" w:rsidP="007157A6">
            <w:pPr>
              <w:rPr>
                <w:lang w:val="en-GB"/>
              </w:rPr>
            </w:pPr>
          </w:p>
        </w:tc>
        <w:tc>
          <w:tcPr>
            <w:tcW w:w="419" w:type="dxa"/>
          </w:tcPr>
          <w:p w14:paraId="71D3BAA4" w14:textId="77777777" w:rsidR="007157A6" w:rsidRPr="007157A6" w:rsidRDefault="007157A6" w:rsidP="007157A6">
            <w:pPr>
              <w:rPr>
                <w:lang w:val="en-GB"/>
              </w:rPr>
            </w:pPr>
          </w:p>
        </w:tc>
      </w:tr>
      <w:tr w:rsidR="007157A6" w:rsidRPr="007157A6" w14:paraId="3570DC8A" w14:textId="77777777" w:rsidTr="00C850ED">
        <w:trPr>
          <w:trHeight w:val="537"/>
        </w:trPr>
        <w:tc>
          <w:tcPr>
            <w:tcW w:w="8642" w:type="dxa"/>
            <w:vMerge/>
          </w:tcPr>
          <w:p w14:paraId="7EB6F80E" w14:textId="77777777" w:rsidR="007157A6" w:rsidRPr="007157A6" w:rsidRDefault="007157A6" w:rsidP="007157A6">
            <w:pPr>
              <w:rPr>
                <w:lang w:val="en-GB"/>
              </w:rPr>
            </w:pPr>
          </w:p>
        </w:tc>
        <w:tc>
          <w:tcPr>
            <w:tcW w:w="3544" w:type="dxa"/>
          </w:tcPr>
          <w:p w14:paraId="4C5734CF" w14:textId="77777777" w:rsidR="007157A6" w:rsidRPr="007157A6" w:rsidRDefault="007157A6" w:rsidP="007157A6">
            <w:pPr>
              <w:rPr>
                <w:lang w:val="en-GB"/>
              </w:rPr>
            </w:pPr>
            <w:r w:rsidRPr="007157A6">
              <w:rPr>
                <w:lang w:val="en-GB"/>
              </w:rPr>
              <w:t>Practicability</w:t>
            </w:r>
          </w:p>
        </w:tc>
        <w:tc>
          <w:tcPr>
            <w:tcW w:w="418" w:type="dxa"/>
          </w:tcPr>
          <w:p w14:paraId="4891CFA0" w14:textId="77777777" w:rsidR="007157A6" w:rsidRPr="007157A6" w:rsidRDefault="007157A6" w:rsidP="007157A6">
            <w:pPr>
              <w:rPr>
                <w:lang w:val="en-GB"/>
              </w:rPr>
            </w:pPr>
          </w:p>
        </w:tc>
        <w:tc>
          <w:tcPr>
            <w:tcW w:w="418" w:type="dxa"/>
          </w:tcPr>
          <w:p w14:paraId="1CD71295" w14:textId="77777777" w:rsidR="007157A6" w:rsidRPr="007157A6" w:rsidRDefault="007157A6" w:rsidP="007157A6">
            <w:pPr>
              <w:rPr>
                <w:lang w:val="en-GB"/>
              </w:rPr>
            </w:pPr>
          </w:p>
        </w:tc>
        <w:tc>
          <w:tcPr>
            <w:tcW w:w="418" w:type="dxa"/>
          </w:tcPr>
          <w:p w14:paraId="01F08F5C" w14:textId="77777777" w:rsidR="007157A6" w:rsidRPr="007157A6" w:rsidRDefault="007157A6" w:rsidP="007157A6">
            <w:pPr>
              <w:rPr>
                <w:lang w:val="en-GB"/>
              </w:rPr>
            </w:pPr>
          </w:p>
        </w:tc>
        <w:tc>
          <w:tcPr>
            <w:tcW w:w="418" w:type="dxa"/>
          </w:tcPr>
          <w:p w14:paraId="04B87CDD" w14:textId="77777777" w:rsidR="007157A6" w:rsidRPr="007157A6" w:rsidRDefault="007157A6" w:rsidP="007157A6">
            <w:pPr>
              <w:rPr>
                <w:lang w:val="en-GB"/>
              </w:rPr>
            </w:pPr>
          </w:p>
        </w:tc>
        <w:tc>
          <w:tcPr>
            <w:tcW w:w="419" w:type="dxa"/>
          </w:tcPr>
          <w:p w14:paraId="349AE5DB" w14:textId="77777777" w:rsidR="007157A6" w:rsidRPr="007157A6" w:rsidRDefault="007157A6" w:rsidP="007157A6">
            <w:pPr>
              <w:rPr>
                <w:lang w:val="en-GB"/>
              </w:rPr>
            </w:pPr>
          </w:p>
        </w:tc>
      </w:tr>
      <w:tr w:rsidR="007157A6" w:rsidRPr="007157A6" w14:paraId="0211B4E2" w14:textId="77777777" w:rsidTr="00C850ED">
        <w:trPr>
          <w:trHeight w:val="537"/>
        </w:trPr>
        <w:tc>
          <w:tcPr>
            <w:tcW w:w="8642" w:type="dxa"/>
            <w:vMerge/>
          </w:tcPr>
          <w:p w14:paraId="45C96A7E" w14:textId="77777777" w:rsidR="007157A6" w:rsidRPr="007157A6" w:rsidRDefault="007157A6" w:rsidP="007157A6">
            <w:pPr>
              <w:rPr>
                <w:lang w:val="en-GB"/>
              </w:rPr>
            </w:pPr>
          </w:p>
        </w:tc>
        <w:tc>
          <w:tcPr>
            <w:tcW w:w="3544" w:type="dxa"/>
          </w:tcPr>
          <w:p w14:paraId="5B07498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19C8D25" w14:textId="77777777" w:rsidR="007157A6" w:rsidRPr="007157A6" w:rsidRDefault="007157A6" w:rsidP="007157A6">
            <w:pPr>
              <w:rPr>
                <w:lang w:val="en-GB"/>
              </w:rPr>
            </w:pPr>
          </w:p>
        </w:tc>
        <w:tc>
          <w:tcPr>
            <w:tcW w:w="418" w:type="dxa"/>
          </w:tcPr>
          <w:p w14:paraId="2DDF9AC3" w14:textId="77777777" w:rsidR="007157A6" w:rsidRPr="007157A6" w:rsidRDefault="007157A6" w:rsidP="007157A6">
            <w:pPr>
              <w:rPr>
                <w:lang w:val="en-GB"/>
              </w:rPr>
            </w:pPr>
          </w:p>
        </w:tc>
        <w:tc>
          <w:tcPr>
            <w:tcW w:w="418" w:type="dxa"/>
          </w:tcPr>
          <w:p w14:paraId="7640E7E7" w14:textId="77777777" w:rsidR="007157A6" w:rsidRPr="007157A6" w:rsidRDefault="007157A6" w:rsidP="007157A6">
            <w:pPr>
              <w:rPr>
                <w:lang w:val="en-GB"/>
              </w:rPr>
            </w:pPr>
          </w:p>
        </w:tc>
        <w:tc>
          <w:tcPr>
            <w:tcW w:w="418" w:type="dxa"/>
          </w:tcPr>
          <w:p w14:paraId="330D8A8C" w14:textId="77777777" w:rsidR="007157A6" w:rsidRPr="007157A6" w:rsidRDefault="007157A6" w:rsidP="007157A6">
            <w:pPr>
              <w:rPr>
                <w:lang w:val="en-GB"/>
              </w:rPr>
            </w:pPr>
          </w:p>
        </w:tc>
        <w:tc>
          <w:tcPr>
            <w:tcW w:w="419" w:type="dxa"/>
          </w:tcPr>
          <w:p w14:paraId="2988D9A1" w14:textId="77777777" w:rsidR="007157A6" w:rsidRPr="007157A6" w:rsidRDefault="007157A6" w:rsidP="007157A6">
            <w:pPr>
              <w:rPr>
                <w:lang w:val="en-GB"/>
              </w:rPr>
            </w:pPr>
          </w:p>
        </w:tc>
      </w:tr>
      <w:tr w:rsidR="007157A6" w:rsidRPr="007157A6" w14:paraId="0550A8CE" w14:textId="77777777" w:rsidTr="00C850ED">
        <w:tc>
          <w:tcPr>
            <w:tcW w:w="8642" w:type="dxa"/>
            <w:shd w:val="clear" w:color="auto" w:fill="D9D9D9" w:themeFill="background1" w:themeFillShade="D9"/>
          </w:tcPr>
          <w:p w14:paraId="7C54E8D6"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6075566C"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108167BF"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4F75BD30"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72E7BA1E"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3EDC0F61"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1B46C718" w14:textId="77777777" w:rsidR="007157A6" w:rsidRPr="007157A6" w:rsidRDefault="007157A6" w:rsidP="007157A6">
            <w:pPr>
              <w:rPr>
                <w:b/>
                <w:lang w:val="en-GB"/>
              </w:rPr>
            </w:pPr>
            <w:r w:rsidRPr="007157A6">
              <w:rPr>
                <w:b/>
                <w:lang w:val="en-GB"/>
              </w:rPr>
              <w:t>1</w:t>
            </w:r>
          </w:p>
        </w:tc>
      </w:tr>
      <w:tr w:rsidR="007157A6" w:rsidRPr="007157A6" w14:paraId="61C68AA4" w14:textId="77777777" w:rsidTr="00C850ED">
        <w:trPr>
          <w:trHeight w:val="731"/>
        </w:trPr>
        <w:tc>
          <w:tcPr>
            <w:tcW w:w="8642" w:type="dxa"/>
            <w:vMerge w:val="restart"/>
          </w:tcPr>
          <w:p w14:paraId="0268AC73" w14:textId="77777777" w:rsidR="007157A6" w:rsidRPr="007157A6" w:rsidRDefault="007157A6" w:rsidP="007157A6">
            <w:pPr>
              <w:rPr>
                <w:lang w:val="en-GB"/>
              </w:rPr>
            </w:pPr>
            <w:r w:rsidRPr="007157A6">
              <w:rPr>
                <w:lang w:val="en-GB"/>
              </w:rPr>
              <w:t xml:space="preserve">Firmly embed ongoing training as to sustainability topics at the level of both corporate bodies and the executive management as well as at the level of non-executive employees. These days, many companies use web-based continued education and certification modules which are easily expanded to include content related to sustainability. Sustainable finance is to be included in the education and training schedule of commercial managers/chief financial </w:t>
            </w:r>
            <w:r w:rsidRPr="007157A6">
              <w:rPr>
                <w:lang w:val="en-GB"/>
              </w:rPr>
              <w:lastRenderedPageBreak/>
              <w:t>officers (CFOs) with the support of local chambers of commerce and industry/technical colleges as well as in the training of insurance specialists and bankers. Sustainable finance should be an integral part of the basic curriculum in all economic and other finance-related degree programmes at colleges and universities.</w:t>
            </w:r>
          </w:p>
        </w:tc>
        <w:tc>
          <w:tcPr>
            <w:tcW w:w="3544" w:type="dxa"/>
          </w:tcPr>
          <w:p w14:paraId="04AC6171"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6422DF3A" w14:textId="77777777" w:rsidR="007157A6" w:rsidRPr="007157A6" w:rsidRDefault="007157A6" w:rsidP="007157A6">
            <w:pPr>
              <w:rPr>
                <w:lang w:val="en-GB"/>
              </w:rPr>
            </w:pPr>
          </w:p>
        </w:tc>
        <w:tc>
          <w:tcPr>
            <w:tcW w:w="418" w:type="dxa"/>
          </w:tcPr>
          <w:p w14:paraId="28DAA73A" w14:textId="77777777" w:rsidR="007157A6" w:rsidRPr="007157A6" w:rsidRDefault="007157A6" w:rsidP="007157A6">
            <w:pPr>
              <w:rPr>
                <w:lang w:val="en-GB"/>
              </w:rPr>
            </w:pPr>
          </w:p>
        </w:tc>
        <w:tc>
          <w:tcPr>
            <w:tcW w:w="418" w:type="dxa"/>
          </w:tcPr>
          <w:p w14:paraId="674E2D97" w14:textId="77777777" w:rsidR="007157A6" w:rsidRPr="007157A6" w:rsidRDefault="007157A6" w:rsidP="007157A6">
            <w:pPr>
              <w:rPr>
                <w:lang w:val="en-GB"/>
              </w:rPr>
            </w:pPr>
          </w:p>
        </w:tc>
        <w:tc>
          <w:tcPr>
            <w:tcW w:w="418" w:type="dxa"/>
          </w:tcPr>
          <w:p w14:paraId="3D37EBAC" w14:textId="77777777" w:rsidR="007157A6" w:rsidRPr="007157A6" w:rsidRDefault="007157A6" w:rsidP="007157A6">
            <w:pPr>
              <w:rPr>
                <w:lang w:val="en-GB"/>
              </w:rPr>
            </w:pPr>
          </w:p>
        </w:tc>
        <w:tc>
          <w:tcPr>
            <w:tcW w:w="419" w:type="dxa"/>
          </w:tcPr>
          <w:p w14:paraId="2558FBF4" w14:textId="77777777" w:rsidR="007157A6" w:rsidRPr="007157A6" w:rsidRDefault="007157A6" w:rsidP="007157A6">
            <w:pPr>
              <w:rPr>
                <w:lang w:val="en-GB"/>
              </w:rPr>
            </w:pPr>
          </w:p>
        </w:tc>
      </w:tr>
      <w:tr w:rsidR="007157A6" w:rsidRPr="007157A6" w14:paraId="665A56CF" w14:textId="77777777" w:rsidTr="00C850ED">
        <w:trPr>
          <w:trHeight w:val="731"/>
        </w:trPr>
        <w:tc>
          <w:tcPr>
            <w:tcW w:w="8642" w:type="dxa"/>
            <w:vMerge/>
          </w:tcPr>
          <w:p w14:paraId="18C1AEF7" w14:textId="77777777" w:rsidR="007157A6" w:rsidRPr="007157A6" w:rsidRDefault="007157A6" w:rsidP="007157A6">
            <w:pPr>
              <w:rPr>
                <w:lang w:val="en-GB"/>
              </w:rPr>
            </w:pPr>
          </w:p>
        </w:tc>
        <w:tc>
          <w:tcPr>
            <w:tcW w:w="3544" w:type="dxa"/>
          </w:tcPr>
          <w:p w14:paraId="5961F718" w14:textId="77777777" w:rsidR="007157A6" w:rsidRPr="007157A6" w:rsidRDefault="007157A6" w:rsidP="007157A6">
            <w:pPr>
              <w:rPr>
                <w:lang w:val="en-GB"/>
              </w:rPr>
            </w:pPr>
            <w:r w:rsidRPr="007157A6">
              <w:rPr>
                <w:lang w:val="en-GB"/>
              </w:rPr>
              <w:t>Level of ambition</w:t>
            </w:r>
          </w:p>
        </w:tc>
        <w:tc>
          <w:tcPr>
            <w:tcW w:w="418" w:type="dxa"/>
          </w:tcPr>
          <w:p w14:paraId="1E514ADB" w14:textId="77777777" w:rsidR="007157A6" w:rsidRPr="007157A6" w:rsidRDefault="007157A6" w:rsidP="007157A6">
            <w:pPr>
              <w:rPr>
                <w:lang w:val="en-GB"/>
              </w:rPr>
            </w:pPr>
          </w:p>
        </w:tc>
        <w:tc>
          <w:tcPr>
            <w:tcW w:w="418" w:type="dxa"/>
          </w:tcPr>
          <w:p w14:paraId="2FB1860E" w14:textId="77777777" w:rsidR="007157A6" w:rsidRPr="007157A6" w:rsidRDefault="007157A6" w:rsidP="007157A6">
            <w:pPr>
              <w:rPr>
                <w:lang w:val="en-GB"/>
              </w:rPr>
            </w:pPr>
          </w:p>
        </w:tc>
        <w:tc>
          <w:tcPr>
            <w:tcW w:w="418" w:type="dxa"/>
          </w:tcPr>
          <w:p w14:paraId="4870A066" w14:textId="77777777" w:rsidR="007157A6" w:rsidRPr="007157A6" w:rsidRDefault="007157A6" w:rsidP="007157A6">
            <w:pPr>
              <w:rPr>
                <w:lang w:val="en-GB"/>
              </w:rPr>
            </w:pPr>
          </w:p>
        </w:tc>
        <w:tc>
          <w:tcPr>
            <w:tcW w:w="418" w:type="dxa"/>
          </w:tcPr>
          <w:p w14:paraId="23C656AD" w14:textId="77777777" w:rsidR="007157A6" w:rsidRPr="007157A6" w:rsidRDefault="007157A6" w:rsidP="007157A6">
            <w:pPr>
              <w:rPr>
                <w:lang w:val="en-GB"/>
              </w:rPr>
            </w:pPr>
          </w:p>
        </w:tc>
        <w:tc>
          <w:tcPr>
            <w:tcW w:w="419" w:type="dxa"/>
          </w:tcPr>
          <w:p w14:paraId="0AF7FABA" w14:textId="77777777" w:rsidR="007157A6" w:rsidRPr="007157A6" w:rsidRDefault="007157A6" w:rsidP="007157A6">
            <w:pPr>
              <w:rPr>
                <w:lang w:val="en-GB"/>
              </w:rPr>
            </w:pPr>
          </w:p>
        </w:tc>
      </w:tr>
      <w:tr w:rsidR="007157A6" w:rsidRPr="007157A6" w14:paraId="1262C342" w14:textId="77777777" w:rsidTr="00C850ED">
        <w:trPr>
          <w:trHeight w:val="731"/>
        </w:trPr>
        <w:tc>
          <w:tcPr>
            <w:tcW w:w="8642" w:type="dxa"/>
            <w:vMerge/>
          </w:tcPr>
          <w:p w14:paraId="32C1279B" w14:textId="77777777" w:rsidR="007157A6" w:rsidRPr="007157A6" w:rsidRDefault="007157A6" w:rsidP="007157A6">
            <w:pPr>
              <w:rPr>
                <w:lang w:val="en-GB"/>
              </w:rPr>
            </w:pPr>
          </w:p>
        </w:tc>
        <w:tc>
          <w:tcPr>
            <w:tcW w:w="3544" w:type="dxa"/>
          </w:tcPr>
          <w:p w14:paraId="37192812" w14:textId="77777777" w:rsidR="007157A6" w:rsidRPr="007157A6" w:rsidRDefault="007157A6" w:rsidP="007157A6">
            <w:pPr>
              <w:rPr>
                <w:lang w:val="en-GB"/>
              </w:rPr>
            </w:pPr>
            <w:r w:rsidRPr="007157A6">
              <w:rPr>
                <w:lang w:val="en-GB"/>
              </w:rPr>
              <w:t>Practicability</w:t>
            </w:r>
          </w:p>
        </w:tc>
        <w:tc>
          <w:tcPr>
            <w:tcW w:w="418" w:type="dxa"/>
          </w:tcPr>
          <w:p w14:paraId="5B230E4F" w14:textId="77777777" w:rsidR="007157A6" w:rsidRPr="007157A6" w:rsidRDefault="007157A6" w:rsidP="007157A6">
            <w:pPr>
              <w:rPr>
                <w:lang w:val="en-GB"/>
              </w:rPr>
            </w:pPr>
          </w:p>
        </w:tc>
        <w:tc>
          <w:tcPr>
            <w:tcW w:w="418" w:type="dxa"/>
          </w:tcPr>
          <w:p w14:paraId="6AE8C962" w14:textId="77777777" w:rsidR="007157A6" w:rsidRPr="007157A6" w:rsidRDefault="007157A6" w:rsidP="007157A6">
            <w:pPr>
              <w:rPr>
                <w:lang w:val="en-GB"/>
              </w:rPr>
            </w:pPr>
          </w:p>
        </w:tc>
        <w:tc>
          <w:tcPr>
            <w:tcW w:w="418" w:type="dxa"/>
          </w:tcPr>
          <w:p w14:paraId="7F82A8E3" w14:textId="77777777" w:rsidR="007157A6" w:rsidRPr="007157A6" w:rsidRDefault="007157A6" w:rsidP="007157A6">
            <w:pPr>
              <w:rPr>
                <w:lang w:val="en-GB"/>
              </w:rPr>
            </w:pPr>
          </w:p>
        </w:tc>
        <w:tc>
          <w:tcPr>
            <w:tcW w:w="418" w:type="dxa"/>
          </w:tcPr>
          <w:p w14:paraId="52960912" w14:textId="77777777" w:rsidR="007157A6" w:rsidRPr="007157A6" w:rsidRDefault="007157A6" w:rsidP="007157A6">
            <w:pPr>
              <w:rPr>
                <w:lang w:val="en-GB"/>
              </w:rPr>
            </w:pPr>
          </w:p>
        </w:tc>
        <w:tc>
          <w:tcPr>
            <w:tcW w:w="419" w:type="dxa"/>
          </w:tcPr>
          <w:p w14:paraId="60E6D413" w14:textId="77777777" w:rsidR="007157A6" w:rsidRPr="007157A6" w:rsidRDefault="007157A6" w:rsidP="007157A6">
            <w:pPr>
              <w:rPr>
                <w:lang w:val="en-GB"/>
              </w:rPr>
            </w:pPr>
          </w:p>
        </w:tc>
      </w:tr>
      <w:tr w:rsidR="007157A6" w:rsidRPr="007157A6" w14:paraId="3D908A8F" w14:textId="77777777" w:rsidTr="00C850ED">
        <w:trPr>
          <w:trHeight w:val="731"/>
        </w:trPr>
        <w:tc>
          <w:tcPr>
            <w:tcW w:w="8642" w:type="dxa"/>
            <w:vMerge/>
          </w:tcPr>
          <w:p w14:paraId="71E97318" w14:textId="77777777" w:rsidR="007157A6" w:rsidRPr="007157A6" w:rsidRDefault="007157A6" w:rsidP="007157A6">
            <w:pPr>
              <w:rPr>
                <w:lang w:val="en-GB"/>
              </w:rPr>
            </w:pPr>
          </w:p>
        </w:tc>
        <w:tc>
          <w:tcPr>
            <w:tcW w:w="3544" w:type="dxa"/>
          </w:tcPr>
          <w:p w14:paraId="23F161C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E418F2B" w14:textId="77777777" w:rsidR="007157A6" w:rsidRPr="007157A6" w:rsidRDefault="007157A6" w:rsidP="007157A6">
            <w:pPr>
              <w:rPr>
                <w:lang w:val="en-GB"/>
              </w:rPr>
            </w:pPr>
          </w:p>
        </w:tc>
        <w:tc>
          <w:tcPr>
            <w:tcW w:w="418" w:type="dxa"/>
          </w:tcPr>
          <w:p w14:paraId="341E7070" w14:textId="77777777" w:rsidR="007157A6" w:rsidRPr="007157A6" w:rsidRDefault="007157A6" w:rsidP="007157A6">
            <w:pPr>
              <w:rPr>
                <w:lang w:val="en-GB"/>
              </w:rPr>
            </w:pPr>
          </w:p>
        </w:tc>
        <w:tc>
          <w:tcPr>
            <w:tcW w:w="418" w:type="dxa"/>
          </w:tcPr>
          <w:p w14:paraId="0ECC506F" w14:textId="77777777" w:rsidR="007157A6" w:rsidRPr="007157A6" w:rsidRDefault="007157A6" w:rsidP="007157A6">
            <w:pPr>
              <w:rPr>
                <w:lang w:val="en-GB"/>
              </w:rPr>
            </w:pPr>
          </w:p>
        </w:tc>
        <w:tc>
          <w:tcPr>
            <w:tcW w:w="418" w:type="dxa"/>
          </w:tcPr>
          <w:p w14:paraId="4F365A56" w14:textId="77777777" w:rsidR="007157A6" w:rsidRPr="007157A6" w:rsidRDefault="007157A6" w:rsidP="007157A6">
            <w:pPr>
              <w:rPr>
                <w:lang w:val="en-GB"/>
              </w:rPr>
            </w:pPr>
          </w:p>
        </w:tc>
        <w:tc>
          <w:tcPr>
            <w:tcW w:w="419" w:type="dxa"/>
          </w:tcPr>
          <w:p w14:paraId="73346EEE" w14:textId="77777777" w:rsidR="007157A6" w:rsidRPr="007157A6" w:rsidRDefault="007157A6" w:rsidP="007157A6">
            <w:pPr>
              <w:rPr>
                <w:lang w:val="en-GB"/>
              </w:rPr>
            </w:pPr>
          </w:p>
        </w:tc>
      </w:tr>
      <w:tr w:rsidR="007157A6" w:rsidRPr="007157A6" w14:paraId="1C68F6CB" w14:textId="77777777" w:rsidTr="00C850ED">
        <w:tc>
          <w:tcPr>
            <w:tcW w:w="8642" w:type="dxa"/>
            <w:shd w:val="clear" w:color="auto" w:fill="D9D9D9" w:themeFill="background1" w:themeFillShade="D9"/>
          </w:tcPr>
          <w:p w14:paraId="6D207194"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0B22E9C"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EB2C342"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AF97160"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5E7F44C4"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537E0BB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25933BC7" w14:textId="77777777" w:rsidR="007157A6" w:rsidRPr="007157A6" w:rsidRDefault="007157A6" w:rsidP="007157A6">
            <w:pPr>
              <w:rPr>
                <w:lang w:val="en-GB"/>
              </w:rPr>
            </w:pPr>
            <w:r w:rsidRPr="007157A6">
              <w:rPr>
                <w:b/>
                <w:lang w:val="en-GB"/>
              </w:rPr>
              <w:t>1</w:t>
            </w:r>
          </w:p>
        </w:tc>
      </w:tr>
      <w:tr w:rsidR="007157A6" w:rsidRPr="007157A6" w14:paraId="53A935DB" w14:textId="77777777" w:rsidTr="00C850ED">
        <w:trPr>
          <w:trHeight w:val="865"/>
        </w:trPr>
        <w:tc>
          <w:tcPr>
            <w:tcW w:w="8642" w:type="dxa"/>
            <w:vMerge w:val="restart"/>
          </w:tcPr>
          <w:p w14:paraId="01D097C0" w14:textId="77777777" w:rsidR="007157A6" w:rsidRPr="007157A6" w:rsidRDefault="007157A6" w:rsidP="00396D4C">
            <w:pPr>
              <w:pBdr>
                <w:top w:val="nil"/>
                <w:left w:val="nil"/>
                <w:bottom w:val="nil"/>
                <w:right w:val="nil"/>
                <w:between w:val="nil"/>
                <w:bar w:val="nil"/>
              </w:pBdr>
              <w:rPr>
                <w:rFonts w:ascii="Calibri" w:eastAsia="Calibri" w:hAnsi="Calibri" w:cs="Calibri"/>
                <w:lang w:val="en-GB"/>
              </w:rPr>
            </w:pPr>
            <w:r w:rsidRPr="007157A6">
              <w:rPr>
                <w:rFonts w:ascii="Calibri" w:hAnsi="Calibri"/>
                <w:lang w:val="en-GB"/>
              </w:rPr>
              <w:t>Minimum requirements regarding the knowledge of financial advisers as to sustainability:</w:t>
            </w:r>
          </w:p>
          <w:p w14:paraId="3A5A5799" w14:textId="77777777" w:rsidR="007157A6" w:rsidRPr="007157A6" w:rsidRDefault="007157A6" w:rsidP="00396D4C">
            <w:pPr>
              <w:numPr>
                <w:ilvl w:val="0"/>
                <w:numId w:val="22"/>
              </w:numPr>
              <w:pBdr>
                <w:top w:val="nil"/>
                <w:left w:val="nil"/>
                <w:bottom w:val="nil"/>
                <w:right w:val="nil"/>
                <w:between w:val="nil"/>
                <w:bar w:val="nil"/>
              </w:pBdr>
              <w:contextualSpacing/>
              <w:rPr>
                <w:rFonts w:ascii="Calibri" w:eastAsia="Calibri" w:hAnsi="Calibri" w:cs="Calibri"/>
                <w:lang w:val="en-GB"/>
              </w:rPr>
            </w:pPr>
            <w:r w:rsidRPr="007157A6">
              <w:rPr>
                <w:rFonts w:ascii="Calibri" w:hAnsi="Calibri"/>
                <w:lang w:val="en-GB"/>
              </w:rPr>
              <w:t>At the very least, the minimum standard demanded by the EU with respect to the knowledge and skills of advisers working in the financial and insurance industry should be adopted as part of the operationalisation of the requirements respecting the integration of sustainability into the governance of financial institutions, which will be included in future delegated acts on the Second European Financial Market Directive (“</w:t>
            </w:r>
            <w:r w:rsidRPr="007157A6">
              <w:rPr>
                <w:rFonts w:ascii="Calibri" w:hAnsi="Calibri"/>
                <w:iCs/>
                <w:lang w:val="en-GB"/>
              </w:rPr>
              <w:t>Markets in Financial Instruments” Directive,</w:t>
            </w:r>
            <w:r w:rsidRPr="007157A6">
              <w:rPr>
                <w:rFonts w:ascii="Calibri" w:hAnsi="Calibri"/>
                <w:lang w:val="en-GB"/>
              </w:rPr>
              <w:t xml:space="preserve"> MiFID II). The planned German “Act on the Transfer of the Supervision over Financial Investment Advisers to </w:t>
            </w:r>
            <w:proofErr w:type="spellStart"/>
            <w:r w:rsidRPr="007157A6">
              <w:rPr>
                <w:rFonts w:ascii="Calibri" w:hAnsi="Calibri"/>
                <w:lang w:val="en-GB"/>
              </w:rPr>
              <w:t>BaFin</w:t>
            </w:r>
            <w:proofErr w:type="spellEnd"/>
            <w:r w:rsidRPr="007157A6">
              <w:rPr>
                <w:rFonts w:ascii="Calibri" w:hAnsi="Calibri"/>
                <w:lang w:val="en-GB"/>
              </w:rPr>
              <w:t xml:space="preserve">” should be designed accordingly. </w:t>
            </w:r>
          </w:p>
          <w:p w14:paraId="36DF60ED" w14:textId="77777777" w:rsidR="007157A6" w:rsidRPr="007157A6" w:rsidRDefault="007157A6" w:rsidP="00396D4C">
            <w:pPr>
              <w:numPr>
                <w:ilvl w:val="0"/>
                <w:numId w:val="22"/>
              </w:numPr>
              <w:pBdr>
                <w:top w:val="nil"/>
                <w:left w:val="nil"/>
                <w:bottom w:val="nil"/>
                <w:right w:val="nil"/>
                <w:between w:val="nil"/>
                <w:bar w:val="nil"/>
              </w:pBdr>
              <w:rPr>
                <w:rFonts w:ascii="Calibri" w:eastAsia="Calibri" w:hAnsi="Calibri" w:cs="Calibri"/>
                <w:lang w:val="en-GB"/>
              </w:rPr>
            </w:pPr>
            <w:proofErr w:type="spellStart"/>
            <w:r w:rsidRPr="007157A6">
              <w:rPr>
                <w:rFonts w:ascii="Calibri" w:hAnsi="Calibri"/>
                <w:lang w:val="en-GB"/>
              </w:rPr>
              <w:t>BaFin</w:t>
            </w:r>
            <w:proofErr w:type="spellEnd"/>
            <w:r w:rsidRPr="007157A6">
              <w:rPr>
                <w:rFonts w:ascii="Calibri" w:hAnsi="Calibri"/>
                <w:lang w:val="en-GB"/>
              </w:rPr>
              <w:t xml:space="preserve"> for its part should prescribe a set of courses on the topic of sustainability for both advisers and executives which encompasses a product and provider-neutral overview of different definitions of sustainability and the links between societal sustainability goals and investment strategies. Already existing EU-supported training programmes can be used as guidance.</w:t>
            </w:r>
          </w:p>
          <w:p w14:paraId="3296347F" w14:textId="77777777" w:rsidR="007157A6" w:rsidRPr="007157A6" w:rsidRDefault="007157A6" w:rsidP="00396D4C">
            <w:pPr>
              <w:rPr>
                <w:lang w:val="en-GB"/>
              </w:rPr>
            </w:pPr>
          </w:p>
        </w:tc>
        <w:tc>
          <w:tcPr>
            <w:tcW w:w="3544" w:type="dxa"/>
          </w:tcPr>
          <w:p w14:paraId="4768C227" w14:textId="77777777" w:rsidR="007157A6" w:rsidRPr="007157A6" w:rsidRDefault="007157A6" w:rsidP="007157A6">
            <w:pPr>
              <w:rPr>
                <w:lang w:val="en-GB"/>
              </w:rPr>
            </w:pPr>
            <w:r w:rsidRPr="007157A6">
              <w:rPr>
                <w:lang w:val="en-GB"/>
              </w:rPr>
              <w:t>Will foster Sustainable Finance in Germany</w:t>
            </w:r>
          </w:p>
        </w:tc>
        <w:tc>
          <w:tcPr>
            <w:tcW w:w="418" w:type="dxa"/>
          </w:tcPr>
          <w:p w14:paraId="18ED4017" w14:textId="77777777" w:rsidR="007157A6" w:rsidRPr="007157A6" w:rsidRDefault="007157A6" w:rsidP="007157A6">
            <w:pPr>
              <w:rPr>
                <w:lang w:val="en-GB"/>
              </w:rPr>
            </w:pPr>
          </w:p>
        </w:tc>
        <w:tc>
          <w:tcPr>
            <w:tcW w:w="418" w:type="dxa"/>
          </w:tcPr>
          <w:p w14:paraId="60C077BD" w14:textId="77777777" w:rsidR="007157A6" w:rsidRPr="007157A6" w:rsidRDefault="007157A6" w:rsidP="007157A6">
            <w:pPr>
              <w:rPr>
                <w:lang w:val="en-GB"/>
              </w:rPr>
            </w:pPr>
          </w:p>
        </w:tc>
        <w:tc>
          <w:tcPr>
            <w:tcW w:w="418" w:type="dxa"/>
          </w:tcPr>
          <w:p w14:paraId="52BE6F24" w14:textId="77777777" w:rsidR="007157A6" w:rsidRPr="007157A6" w:rsidRDefault="007157A6" w:rsidP="007157A6">
            <w:pPr>
              <w:rPr>
                <w:lang w:val="en-GB"/>
              </w:rPr>
            </w:pPr>
          </w:p>
        </w:tc>
        <w:tc>
          <w:tcPr>
            <w:tcW w:w="418" w:type="dxa"/>
          </w:tcPr>
          <w:p w14:paraId="6EBA9DFA" w14:textId="77777777" w:rsidR="007157A6" w:rsidRPr="007157A6" w:rsidRDefault="007157A6" w:rsidP="007157A6">
            <w:pPr>
              <w:rPr>
                <w:lang w:val="en-GB"/>
              </w:rPr>
            </w:pPr>
          </w:p>
        </w:tc>
        <w:tc>
          <w:tcPr>
            <w:tcW w:w="419" w:type="dxa"/>
          </w:tcPr>
          <w:p w14:paraId="084B813A" w14:textId="77777777" w:rsidR="007157A6" w:rsidRPr="007157A6" w:rsidRDefault="007157A6" w:rsidP="007157A6">
            <w:pPr>
              <w:rPr>
                <w:lang w:val="en-GB"/>
              </w:rPr>
            </w:pPr>
          </w:p>
        </w:tc>
      </w:tr>
      <w:tr w:rsidR="007157A6" w:rsidRPr="007157A6" w14:paraId="3FDB1503" w14:textId="77777777" w:rsidTr="00C850ED">
        <w:trPr>
          <w:trHeight w:val="865"/>
        </w:trPr>
        <w:tc>
          <w:tcPr>
            <w:tcW w:w="8642" w:type="dxa"/>
            <w:vMerge/>
          </w:tcPr>
          <w:p w14:paraId="1D83FDB5" w14:textId="77777777" w:rsidR="007157A6" w:rsidRPr="007157A6" w:rsidRDefault="007157A6" w:rsidP="007157A6">
            <w:pPr>
              <w:rPr>
                <w:lang w:val="en-GB"/>
              </w:rPr>
            </w:pPr>
          </w:p>
        </w:tc>
        <w:tc>
          <w:tcPr>
            <w:tcW w:w="3544" w:type="dxa"/>
          </w:tcPr>
          <w:p w14:paraId="6BA8D8DA" w14:textId="77777777" w:rsidR="007157A6" w:rsidRPr="007157A6" w:rsidRDefault="007157A6" w:rsidP="007157A6">
            <w:pPr>
              <w:rPr>
                <w:lang w:val="en-GB"/>
              </w:rPr>
            </w:pPr>
            <w:r w:rsidRPr="007157A6">
              <w:rPr>
                <w:lang w:val="en-GB"/>
              </w:rPr>
              <w:t>Level of ambition</w:t>
            </w:r>
          </w:p>
        </w:tc>
        <w:tc>
          <w:tcPr>
            <w:tcW w:w="418" w:type="dxa"/>
          </w:tcPr>
          <w:p w14:paraId="479403B4" w14:textId="77777777" w:rsidR="007157A6" w:rsidRPr="007157A6" w:rsidRDefault="007157A6" w:rsidP="007157A6">
            <w:pPr>
              <w:rPr>
                <w:lang w:val="en-GB"/>
              </w:rPr>
            </w:pPr>
          </w:p>
        </w:tc>
        <w:tc>
          <w:tcPr>
            <w:tcW w:w="418" w:type="dxa"/>
          </w:tcPr>
          <w:p w14:paraId="145EE86F" w14:textId="77777777" w:rsidR="007157A6" w:rsidRPr="007157A6" w:rsidRDefault="007157A6" w:rsidP="007157A6">
            <w:pPr>
              <w:rPr>
                <w:lang w:val="en-GB"/>
              </w:rPr>
            </w:pPr>
          </w:p>
        </w:tc>
        <w:tc>
          <w:tcPr>
            <w:tcW w:w="418" w:type="dxa"/>
          </w:tcPr>
          <w:p w14:paraId="1807AE36" w14:textId="77777777" w:rsidR="007157A6" w:rsidRPr="007157A6" w:rsidRDefault="007157A6" w:rsidP="007157A6">
            <w:pPr>
              <w:rPr>
                <w:lang w:val="en-GB"/>
              </w:rPr>
            </w:pPr>
          </w:p>
        </w:tc>
        <w:tc>
          <w:tcPr>
            <w:tcW w:w="418" w:type="dxa"/>
          </w:tcPr>
          <w:p w14:paraId="79B316D2" w14:textId="77777777" w:rsidR="007157A6" w:rsidRPr="007157A6" w:rsidRDefault="007157A6" w:rsidP="007157A6">
            <w:pPr>
              <w:rPr>
                <w:lang w:val="en-GB"/>
              </w:rPr>
            </w:pPr>
          </w:p>
        </w:tc>
        <w:tc>
          <w:tcPr>
            <w:tcW w:w="419" w:type="dxa"/>
          </w:tcPr>
          <w:p w14:paraId="667F61E2" w14:textId="77777777" w:rsidR="007157A6" w:rsidRPr="007157A6" w:rsidRDefault="007157A6" w:rsidP="007157A6">
            <w:pPr>
              <w:rPr>
                <w:lang w:val="en-GB"/>
              </w:rPr>
            </w:pPr>
          </w:p>
        </w:tc>
      </w:tr>
      <w:tr w:rsidR="007157A6" w:rsidRPr="007157A6" w14:paraId="67863954" w14:textId="77777777" w:rsidTr="00C850ED">
        <w:trPr>
          <w:trHeight w:val="865"/>
        </w:trPr>
        <w:tc>
          <w:tcPr>
            <w:tcW w:w="8642" w:type="dxa"/>
            <w:vMerge/>
          </w:tcPr>
          <w:p w14:paraId="52C1DBDF" w14:textId="77777777" w:rsidR="007157A6" w:rsidRPr="007157A6" w:rsidRDefault="007157A6" w:rsidP="007157A6">
            <w:pPr>
              <w:rPr>
                <w:lang w:val="en-GB"/>
              </w:rPr>
            </w:pPr>
          </w:p>
        </w:tc>
        <w:tc>
          <w:tcPr>
            <w:tcW w:w="3544" w:type="dxa"/>
          </w:tcPr>
          <w:p w14:paraId="721CD44C" w14:textId="77777777" w:rsidR="007157A6" w:rsidRPr="007157A6" w:rsidRDefault="007157A6" w:rsidP="007157A6">
            <w:pPr>
              <w:rPr>
                <w:lang w:val="en-GB"/>
              </w:rPr>
            </w:pPr>
            <w:r w:rsidRPr="007157A6">
              <w:rPr>
                <w:lang w:val="en-GB"/>
              </w:rPr>
              <w:t>Practicability</w:t>
            </w:r>
          </w:p>
        </w:tc>
        <w:tc>
          <w:tcPr>
            <w:tcW w:w="418" w:type="dxa"/>
          </w:tcPr>
          <w:p w14:paraId="57096317" w14:textId="77777777" w:rsidR="007157A6" w:rsidRPr="007157A6" w:rsidRDefault="007157A6" w:rsidP="007157A6">
            <w:pPr>
              <w:rPr>
                <w:lang w:val="en-GB"/>
              </w:rPr>
            </w:pPr>
          </w:p>
        </w:tc>
        <w:tc>
          <w:tcPr>
            <w:tcW w:w="418" w:type="dxa"/>
          </w:tcPr>
          <w:p w14:paraId="1E2B5062" w14:textId="77777777" w:rsidR="007157A6" w:rsidRPr="007157A6" w:rsidRDefault="007157A6" w:rsidP="007157A6">
            <w:pPr>
              <w:rPr>
                <w:lang w:val="en-GB"/>
              </w:rPr>
            </w:pPr>
          </w:p>
        </w:tc>
        <w:tc>
          <w:tcPr>
            <w:tcW w:w="418" w:type="dxa"/>
          </w:tcPr>
          <w:p w14:paraId="7EB79012" w14:textId="77777777" w:rsidR="007157A6" w:rsidRPr="007157A6" w:rsidRDefault="007157A6" w:rsidP="007157A6">
            <w:pPr>
              <w:rPr>
                <w:lang w:val="en-GB"/>
              </w:rPr>
            </w:pPr>
          </w:p>
        </w:tc>
        <w:tc>
          <w:tcPr>
            <w:tcW w:w="418" w:type="dxa"/>
          </w:tcPr>
          <w:p w14:paraId="631F05E3" w14:textId="77777777" w:rsidR="007157A6" w:rsidRPr="007157A6" w:rsidRDefault="007157A6" w:rsidP="007157A6">
            <w:pPr>
              <w:rPr>
                <w:lang w:val="en-GB"/>
              </w:rPr>
            </w:pPr>
          </w:p>
        </w:tc>
        <w:tc>
          <w:tcPr>
            <w:tcW w:w="419" w:type="dxa"/>
          </w:tcPr>
          <w:p w14:paraId="3831BF57" w14:textId="77777777" w:rsidR="007157A6" w:rsidRPr="007157A6" w:rsidRDefault="007157A6" w:rsidP="007157A6">
            <w:pPr>
              <w:rPr>
                <w:lang w:val="en-GB"/>
              </w:rPr>
            </w:pPr>
          </w:p>
        </w:tc>
      </w:tr>
      <w:tr w:rsidR="007157A6" w:rsidRPr="007157A6" w14:paraId="790E2B7F" w14:textId="77777777" w:rsidTr="00C850ED">
        <w:trPr>
          <w:trHeight w:val="866"/>
        </w:trPr>
        <w:tc>
          <w:tcPr>
            <w:tcW w:w="8642" w:type="dxa"/>
            <w:vMerge/>
          </w:tcPr>
          <w:p w14:paraId="23524BB8" w14:textId="77777777" w:rsidR="007157A6" w:rsidRPr="007157A6" w:rsidRDefault="007157A6" w:rsidP="007157A6">
            <w:pPr>
              <w:rPr>
                <w:lang w:val="en-GB"/>
              </w:rPr>
            </w:pPr>
          </w:p>
        </w:tc>
        <w:tc>
          <w:tcPr>
            <w:tcW w:w="3544" w:type="dxa"/>
          </w:tcPr>
          <w:p w14:paraId="272FA384"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9A0D857" w14:textId="77777777" w:rsidR="007157A6" w:rsidRPr="007157A6" w:rsidRDefault="007157A6" w:rsidP="007157A6">
            <w:pPr>
              <w:rPr>
                <w:lang w:val="en-GB"/>
              </w:rPr>
            </w:pPr>
          </w:p>
        </w:tc>
        <w:tc>
          <w:tcPr>
            <w:tcW w:w="418" w:type="dxa"/>
          </w:tcPr>
          <w:p w14:paraId="5A987631" w14:textId="77777777" w:rsidR="007157A6" w:rsidRPr="007157A6" w:rsidRDefault="007157A6" w:rsidP="007157A6">
            <w:pPr>
              <w:rPr>
                <w:lang w:val="en-GB"/>
              </w:rPr>
            </w:pPr>
          </w:p>
        </w:tc>
        <w:tc>
          <w:tcPr>
            <w:tcW w:w="418" w:type="dxa"/>
          </w:tcPr>
          <w:p w14:paraId="25FB27EB" w14:textId="77777777" w:rsidR="007157A6" w:rsidRPr="007157A6" w:rsidRDefault="007157A6" w:rsidP="007157A6">
            <w:pPr>
              <w:rPr>
                <w:lang w:val="en-GB"/>
              </w:rPr>
            </w:pPr>
          </w:p>
        </w:tc>
        <w:tc>
          <w:tcPr>
            <w:tcW w:w="418" w:type="dxa"/>
          </w:tcPr>
          <w:p w14:paraId="2F372E5A" w14:textId="77777777" w:rsidR="007157A6" w:rsidRPr="007157A6" w:rsidRDefault="007157A6" w:rsidP="007157A6">
            <w:pPr>
              <w:rPr>
                <w:lang w:val="en-GB"/>
              </w:rPr>
            </w:pPr>
          </w:p>
        </w:tc>
        <w:tc>
          <w:tcPr>
            <w:tcW w:w="419" w:type="dxa"/>
          </w:tcPr>
          <w:p w14:paraId="72F9ED36" w14:textId="77777777" w:rsidR="007157A6" w:rsidRPr="007157A6" w:rsidRDefault="007157A6" w:rsidP="007157A6">
            <w:pPr>
              <w:rPr>
                <w:lang w:val="en-GB"/>
              </w:rPr>
            </w:pPr>
          </w:p>
        </w:tc>
      </w:tr>
      <w:tr w:rsidR="007157A6" w:rsidRPr="007157A6" w14:paraId="1B0E6719" w14:textId="77777777" w:rsidTr="00C850ED">
        <w:tc>
          <w:tcPr>
            <w:tcW w:w="8642" w:type="dxa"/>
            <w:shd w:val="clear" w:color="auto" w:fill="D9D9D9" w:themeFill="background1" w:themeFillShade="D9"/>
          </w:tcPr>
          <w:p w14:paraId="2FA7A325"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4D2A8D98"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486E12C"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757956D5"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4B05215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1EDCD91B"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98193C3" w14:textId="77777777" w:rsidR="007157A6" w:rsidRPr="007157A6" w:rsidRDefault="007157A6" w:rsidP="007157A6">
            <w:pPr>
              <w:rPr>
                <w:lang w:val="en-GB"/>
              </w:rPr>
            </w:pPr>
            <w:r w:rsidRPr="007157A6">
              <w:rPr>
                <w:b/>
                <w:lang w:val="en-GB"/>
              </w:rPr>
              <w:t>1</w:t>
            </w:r>
          </w:p>
        </w:tc>
      </w:tr>
      <w:tr w:rsidR="007157A6" w:rsidRPr="007157A6" w14:paraId="5FE23716" w14:textId="77777777" w:rsidTr="00C850ED">
        <w:tc>
          <w:tcPr>
            <w:tcW w:w="8642" w:type="dxa"/>
            <w:vMerge w:val="restart"/>
          </w:tcPr>
          <w:p w14:paraId="1295F9F5" w14:textId="77777777" w:rsidR="007157A6" w:rsidRPr="007157A6" w:rsidRDefault="007157A6" w:rsidP="00717905">
            <w:pPr>
              <w:rPr>
                <w:lang w:val="en-GB"/>
              </w:rPr>
            </w:pPr>
            <w:r w:rsidRPr="007157A6">
              <w:rPr>
                <w:lang w:val="en-GB"/>
              </w:rPr>
              <w:t>Sensitise private investors to sustainable finance through educational and training programmes at schools and universities (i.e. courses on sustainable finance as part of a sustainability curriculum or as part of any training in finance). The German federal government should launch a web-based information portal on sustainable finance for end customers analogous to the Federal Agency for Civic Education.</w:t>
            </w:r>
          </w:p>
        </w:tc>
        <w:tc>
          <w:tcPr>
            <w:tcW w:w="3544" w:type="dxa"/>
          </w:tcPr>
          <w:p w14:paraId="1EA2F79C" w14:textId="77777777" w:rsidR="007157A6" w:rsidRPr="007157A6" w:rsidRDefault="007157A6" w:rsidP="007157A6">
            <w:pPr>
              <w:rPr>
                <w:lang w:val="en-GB"/>
              </w:rPr>
            </w:pPr>
            <w:r w:rsidRPr="007157A6">
              <w:rPr>
                <w:lang w:val="en-GB"/>
              </w:rPr>
              <w:t>Will foster Sustainable Finance in Germany</w:t>
            </w:r>
          </w:p>
        </w:tc>
        <w:tc>
          <w:tcPr>
            <w:tcW w:w="418" w:type="dxa"/>
          </w:tcPr>
          <w:p w14:paraId="6D01D9B6" w14:textId="77777777" w:rsidR="007157A6" w:rsidRPr="007157A6" w:rsidRDefault="007157A6" w:rsidP="007157A6">
            <w:pPr>
              <w:rPr>
                <w:lang w:val="en-GB"/>
              </w:rPr>
            </w:pPr>
          </w:p>
        </w:tc>
        <w:tc>
          <w:tcPr>
            <w:tcW w:w="418" w:type="dxa"/>
          </w:tcPr>
          <w:p w14:paraId="7B0A043D" w14:textId="77777777" w:rsidR="007157A6" w:rsidRPr="007157A6" w:rsidRDefault="007157A6" w:rsidP="007157A6">
            <w:pPr>
              <w:rPr>
                <w:lang w:val="en-GB"/>
              </w:rPr>
            </w:pPr>
          </w:p>
        </w:tc>
        <w:tc>
          <w:tcPr>
            <w:tcW w:w="418" w:type="dxa"/>
          </w:tcPr>
          <w:p w14:paraId="4A51925E" w14:textId="77777777" w:rsidR="007157A6" w:rsidRPr="007157A6" w:rsidRDefault="007157A6" w:rsidP="007157A6">
            <w:pPr>
              <w:rPr>
                <w:lang w:val="en-GB"/>
              </w:rPr>
            </w:pPr>
          </w:p>
        </w:tc>
        <w:tc>
          <w:tcPr>
            <w:tcW w:w="418" w:type="dxa"/>
          </w:tcPr>
          <w:p w14:paraId="366903E1" w14:textId="77777777" w:rsidR="007157A6" w:rsidRPr="007157A6" w:rsidRDefault="007157A6" w:rsidP="007157A6">
            <w:pPr>
              <w:rPr>
                <w:lang w:val="en-GB"/>
              </w:rPr>
            </w:pPr>
          </w:p>
        </w:tc>
        <w:tc>
          <w:tcPr>
            <w:tcW w:w="419" w:type="dxa"/>
          </w:tcPr>
          <w:p w14:paraId="75C69F82" w14:textId="77777777" w:rsidR="007157A6" w:rsidRPr="007157A6" w:rsidRDefault="007157A6" w:rsidP="007157A6">
            <w:pPr>
              <w:rPr>
                <w:lang w:val="en-GB"/>
              </w:rPr>
            </w:pPr>
          </w:p>
        </w:tc>
      </w:tr>
      <w:tr w:rsidR="007157A6" w:rsidRPr="007157A6" w14:paraId="1DBE8C58" w14:textId="77777777" w:rsidTr="00C850ED">
        <w:tc>
          <w:tcPr>
            <w:tcW w:w="8642" w:type="dxa"/>
            <w:vMerge/>
          </w:tcPr>
          <w:p w14:paraId="04682063" w14:textId="77777777" w:rsidR="007157A6" w:rsidRPr="007157A6" w:rsidRDefault="007157A6" w:rsidP="007157A6">
            <w:pPr>
              <w:rPr>
                <w:lang w:val="en-GB"/>
              </w:rPr>
            </w:pPr>
          </w:p>
        </w:tc>
        <w:tc>
          <w:tcPr>
            <w:tcW w:w="3544" w:type="dxa"/>
          </w:tcPr>
          <w:p w14:paraId="29AF1DD4" w14:textId="77777777" w:rsidR="007157A6" w:rsidRPr="007157A6" w:rsidRDefault="007157A6" w:rsidP="007157A6">
            <w:pPr>
              <w:rPr>
                <w:lang w:val="en-GB"/>
              </w:rPr>
            </w:pPr>
            <w:r w:rsidRPr="007157A6">
              <w:rPr>
                <w:lang w:val="en-GB"/>
              </w:rPr>
              <w:t>Level of ambition</w:t>
            </w:r>
          </w:p>
        </w:tc>
        <w:tc>
          <w:tcPr>
            <w:tcW w:w="418" w:type="dxa"/>
          </w:tcPr>
          <w:p w14:paraId="3E1819C5" w14:textId="77777777" w:rsidR="007157A6" w:rsidRPr="007157A6" w:rsidRDefault="007157A6" w:rsidP="007157A6">
            <w:pPr>
              <w:rPr>
                <w:lang w:val="en-GB"/>
              </w:rPr>
            </w:pPr>
          </w:p>
        </w:tc>
        <w:tc>
          <w:tcPr>
            <w:tcW w:w="418" w:type="dxa"/>
          </w:tcPr>
          <w:p w14:paraId="3DA1668B" w14:textId="77777777" w:rsidR="007157A6" w:rsidRPr="007157A6" w:rsidRDefault="007157A6" w:rsidP="007157A6">
            <w:pPr>
              <w:rPr>
                <w:lang w:val="en-GB"/>
              </w:rPr>
            </w:pPr>
          </w:p>
        </w:tc>
        <w:tc>
          <w:tcPr>
            <w:tcW w:w="418" w:type="dxa"/>
          </w:tcPr>
          <w:p w14:paraId="73E7C360" w14:textId="77777777" w:rsidR="007157A6" w:rsidRPr="007157A6" w:rsidRDefault="007157A6" w:rsidP="007157A6">
            <w:pPr>
              <w:rPr>
                <w:lang w:val="en-GB"/>
              </w:rPr>
            </w:pPr>
          </w:p>
        </w:tc>
        <w:tc>
          <w:tcPr>
            <w:tcW w:w="418" w:type="dxa"/>
          </w:tcPr>
          <w:p w14:paraId="1D3F34C3" w14:textId="77777777" w:rsidR="007157A6" w:rsidRPr="007157A6" w:rsidRDefault="007157A6" w:rsidP="007157A6">
            <w:pPr>
              <w:rPr>
                <w:lang w:val="en-GB"/>
              </w:rPr>
            </w:pPr>
          </w:p>
        </w:tc>
        <w:tc>
          <w:tcPr>
            <w:tcW w:w="419" w:type="dxa"/>
          </w:tcPr>
          <w:p w14:paraId="1CD7CC1F" w14:textId="77777777" w:rsidR="007157A6" w:rsidRPr="007157A6" w:rsidRDefault="007157A6" w:rsidP="007157A6">
            <w:pPr>
              <w:rPr>
                <w:lang w:val="en-GB"/>
              </w:rPr>
            </w:pPr>
          </w:p>
        </w:tc>
      </w:tr>
      <w:tr w:rsidR="007157A6" w:rsidRPr="007157A6" w14:paraId="4855699A" w14:textId="77777777" w:rsidTr="00C850ED">
        <w:tc>
          <w:tcPr>
            <w:tcW w:w="8642" w:type="dxa"/>
            <w:vMerge/>
          </w:tcPr>
          <w:p w14:paraId="321ABF98" w14:textId="77777777" w:rsidR="007157A6" w:rsidRPr="007157A6" w:rsidRDefault="007157A6" w:rsidP="007157A6">
            <w:pPr>
              <w:rPr>
                <w:lang w:val="en-GB"/>
              </w:rPr>
            </w:pPr>
          </w:p>
        </w:tc>
        <w:tc>
          <w:tcPr>
            <w:tcW w:w="3544" w:type="dxa"/>
          </w:tcPr>
          <w:p w14:paraId="473509D4" w14:textId="77777777" w:rsidR="007157A6" w:rsidRPr="007157A6" w:rsidRDefault="007157A6" w:rsidP="007157A6">
            <w:pPr>
              <w:rPr>
                <w:lang w:val="en-GB"/>
              </w:rPr>
            </w:pPr>
            <w:r w:rsidRPr="007157A6">
              <w:rPr>
                <w:lang w:val="en-GB"/>
              </w:rPr>
              <w:t>Practicability</w:t>
            </w:r>
          </w:p>
        </w:tc>
        <w:tc>
          <w:tcPr>
            <w:tcW w:w="418" w:type="dxa"/>
          </w:tcPr>
          <w:p w14:paraId="58C6DB29" w14:textId="77777777" w:rsidR="007157A6" w:rsidRPr="007157A6" w:rsidRDefault="007157A6" w:rsidP="007157A6">
            <w:pPr>
              <w:rPr>
                <w:lang w:val="en-GB"/>
              </w:rPr>
            </w:pPr>
          </w:p>
        </w:tc>
        <w:tc>
          <w:tcPr>
            <w:tcW w:w="418" w:type="dxa"/>
          </w:tcPr>
          <w:p w14:paraId="5FD2A93B" w14:textId="77777777" w:rsidR="007157A6" w:rsidRPr="007157A6" w:rsidRDefault="007157A6" w:rsidP="007157A6">
            <w:pPr>
              <w:rPr>
                <w:lang w:val="en-GB"/>
              </w:rPr>
            </w:pPr>
          </w:p>
        </w:tc>
        <w:tc>
          <w:tcPr>
            <w:tcW w:w="418" w:type="dxa"/>
          </w:tcPr>
          <w:p w14:paraId="2FB32782" w14:textId="77777777" w:rsidR="007157A6" w:rsidRPr="007157A6" w:rsidRDefault="007157A6" w:rsidP="007157A6">
            <w:pPr>
              <w:rPr>
                <w:lang w:val="en-GB"/>
              </w:rPr>
            </w:pPr>
          </w:p>
        </w:tc>
        <w:tc>
          <w:tcPr>
            <w:tcW w:w="418" w:type="dxa"/>
          </w:tcPr>
          <w:p w14:paraId="06FF6F5C" w14:textId="77777777" w:rsidR="007157A6" w:rsidRPr="007157A6" w:rsidRDefault="007157A6" w:rsidP="007157A6">
            <w:pPr>
              <w:rPr>
                <w:lang w:val="en-GB"/>
              </w:rPr>
            </w:pPr>
          </w:p>
        </w:tc>
        <w:tc>
          <w:tcPr>
            <w:tcW w:w="419" w:type="dxa"/>
          </w:tcPr>
          <w:p w14:paraId="105FDAB1" w14:textId="77777777" w:rsidR="007157A6" w:rsidRPr="007157A6" w:rsidRDefault="007157A6" w:rsidP="007157A6">
            <w:pPr>
              <w:rPr>
                <w:lang w:val="en-GB"/>
              </w:rPr>
            </w:pPr>
          </w:p>
        </w:tc>
      </w:tr>
      <w:tr w:rsidR="007157A6" w:rsidRPr="007157A6" w14:paraId="53FD43CF" w14:textId="77777777" w:rsidTr="00C850ED">
        <w:tc>
          <w:tcPr>
            <w:tcW w:w="8642" w:type="dxa"/>
            <w:vMerge/>
          </w:tcPr>
          <w:p w14:paraId="0FC126B8" w14:textId="77777777" w:rsidR="007157A6" w:rsidRPr="007157A6" w:rsidRDefault="007157A6" w:rsidP="007157A6">
            <w:pPr>
              <w:rPr>
                <w:lang w:val="en-GB"/>
              </w:rPr>
            </w:pPr>
          </w:p>
        </w:tc>
        <w:tc>
          <w:tcPr>
            <w:tcW w:w="3544" w:type="dxa"/>
          </w:tcPr>
          <w:p w14:paraId="7FF7184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56BB89B" w14:textId="77777777" w:rsidR="007157A6" w:rsidRPr="007157A6" w:rsidRDefault="007157A6" w:rsidP="007157A6">
            <w:pPr>
              <w:rPr>
                <w:lang w:val="en-GB"/>
              </w:rPr>
            </w:pPr>
          </w:p>
        </w:tc>
        <w:tc>
          <w:tcPr>
            <w:tcW w:w="418" w:type="dxa"/>
          </w:tcPr>
          <w:p w14:paraId="5095F789" w14:textId="77777777" w:rsidR="007157A6" w:rsidRPr="007157A6" w:rsidRDefault="007157A6" w:rsidP="007157A6">
            <w:pPr>
              <w:rPr>
                <w:lang w:val="en-GB"/>
              </w:rPr>
            </w:pPr>
          </w:p>
        </w:tc>
        <w:tc>
          <w:tcPr>
            <w:tcW w:w="418" w:type="dxa"/>
          </w:tcPr>
          <w:p w14:paraId="24462BD2" w14:textId="77777777" w:rsidR="007157A6" w:rsidRPr="007157A6" w:rsidRDefault="007157A6" w:rsidP="007157A6">
            <w:pPr>
              <w:rPr>
                <w:lang w:val="en-GB"/>
              </w:rPr>
            </w:pPr>
          </w:p>
        </w:tc>
        <w:tc>
          <w:tcPr>
            <w:tcW w:w="418" w:type="dxa"/>
          </w:tcPr>
          <w:p w14:paraId="330BE417" w14:textId="77777777" w:rsidR="007157A6" w:rsidRPr="007157A6" w:rsidRDefault="007157A6" w:rsidP="007157A6">
            <w:pPr>
              <w:rPr>
                <w:lang w:val="en-GB"/>
              </w:rPr>
            </w:pPr>
          </w:p>
        </w:tc>
        <w:tc>
          <w:tcPr>
            <w:tcW w:w="419" w:type="dxa"/>
          </w:tcPr>
          <w:p w14:paraId="6A3A2729" w14:textId="77777777" w:rsidR="007157A6" w:rsidRPr="007157A6" w:rsidRDefault="007157A6" w:rsidP="007157A6">
            <w:pPr>
              <w:rPr>
                <w:lang w:val="en-GB"/>
              </w:rPr>
            </w:pPr>
          </w:p>
        </w:tc>
      </w:tr>
    </w:tbl>
    <w:p w14:paraId="361F35F7" w14:textId="77777777" w:rsidR="007157A6" w:rsidRPr="00717905" w:rsidRDefault="007157A6" w:rsidP="007157A6">
      <w:pPr>
        <w:spacing w:after="0"/>
        <w:rPr>
          <w:b/>
          <w:sz w:val="16"/>
          <w:lang w:val="en-GB"/>
        </w:rPr>
      </w:pPr>
    </w:p>
    <w:p w14:paraId="66660F6F" w14:textId="77777777" w:rsidR="007157A6" w:rsidRPr="007157A6" w:rsidRDefault="007157A6" w:rsidP="007157A6">
      <w:pPr>
        <w:numPr>
          <w:ilvl w:val="0"/>
          <w:numId w:val="5"/>
        </w:numPr>
        <w:contextualSpacing/>
        <w:rPr>
          <w:lang w:val="en-GB"/>
        </w:rPr>
      </w:pPr>
      <w:r w:rsidRPr="007157A6">
        <w:rPr>
          <w:lang w:val="en-GB"/>
        </w:rPr>
        <w:t>Are the proposed approaches to action in chapter 3.2 point 5 regarding risk hedging by the public sector helpful in supporting the transformation of the economy?</w:t>
      </w:r>
    </w:p>
    <w:p w14:paraId="746AF2D5" w14:textId="77777777" w:rsidR="007157A6" w:rsidRPr="007157A6" w:rsidRDefault="007157A6" w:rsidP="007157A6">
      <w:pPr>
        <w:numPr>
          <w:ilvl w:val="1"/>
          <w:numId w:val="5"/>
        </w:numPr>
        <w:contextualSpacing/>
        <w:rPr>
          <w:lang w:val="en-GB"/>
        </w:rPr>
      </w:pPr>
      <w:r w:rsidRPr="007157A6">
        <w:rPr>
          <w:lang w:val="en-GB"/>
        </w:rPr>
        <w:t>Yes / no</w:t>
      </w:r>
    </w:p>
    <w:p w14:paraId="45F2C998" w14:textId="77777777" w:rsidR="007157A6" w:rsidRPr="007157A6" w:rsidRDefault="007157A6" w:rsidP="007157A6">
      <w:pPr>
        <w:numPr>
          <w:ilvl w:val="0"/>
          <w:numId w:val="5"/>
        </w:numPr>
        <w:contextualSpacing/>
        <w:rPr>
          <w:lang w:val="en-GB"/>
        </w:rPr>
      </w:pPr>
      <w:r w:rsidRPr="007157A6">
        <w:rPr>
          <w:lang w:val="en-GB"/>
        </w:rPr>
        <w:lastRenderedPageBreak/>
        <w:t>Which existing state support programs and incentive systems in the area of financial markets are in conflict with existing sustainability goals (global sustainability goals as defined by the 17 Sustainable Development Goals and the Paris Climate Change Agreement)?</w:t>
      </w:r>
    </w:p>
    <w:p w14:paraId="0E2C9B92" w14:textId="77777777" w:rsidR="007157A6" w:rsidRPr="007157A6" w:rsidRDefault="007157A6" w:rsidP="007157A6">
      <w:pPr>
        <w:rPr>
          <w:lang w:val="en-GB"/>
        </w:rPr>
      </w:pPr>
      <w:r w:rsidRPr="007157A6">
        <w:rPr>
          <w:noProof/>
          <w:lang w:eastAsia="de-DE"/>
        </w:rPr>
        <mc:AlternateContent>
          <mc:Choice Requires="wps">
            <w:drawing>
              <wp:anchor distT="0" distB="0" distL="114300" distR="114300" simplePos="0" relativeHeight="251670528" behindDoc="0" locked="0" layoutInCell="1" allowOverlap="1" wp14:anchorId="4D02DDC6" wp14:editId="0202CD20">
                <wp:simplePos x="0" y="0"/>
                <wp:positionH relativeFrom="column">
                  <wp:posOffset>0</wp:posOffset>
                </wp:positionH>
                <wp:positionV relativeFrom="paragraph">
                  <wp:posOffset>66040</wp:posOffset>
                </wp:positionV>
                <wp:extent cx="4460240" cy="254000"/>
                <wp:effectExtent l="0" t="0" r="16510" b="1270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7F7EC86D"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0DCF9" id="_x0000_s1035" type="#_x0000_t202" style="position:absolute;margin-left:0;margin-top:5.2pt;width:351.2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6058F13A" w14:textId="77777777" w:rsidR="007157A6" w:rsidRPr="007157A6" w:rsidRDefault="007157A6" w:rsidP="007157A6">
      <w:pPr>
        <w:rPr>
          <w:b/>
          <w:lang w:val="en-GB"/>
        </w:rPr>
      </w:pPr>
    </w:p>
    <w:p w14:paraId="4F2B18F5" w14:textId="77777777" w:rsidR="007157A6" w:rsidRPr="007157A6" w:rsidRDefault="007157A6" w:rsidP="00717905">
      <w:pPr>
        <w:pBdr>
          <w:bottom w:val="single" w:sz="4" w:space="1" w:color="auto"/>
        </w:pBdr>
        <w:rPr>
          <w:b/>
          <w:sz w:val="28"/>
          <w:lang w:val="en-GB"/>
        </w:rPr>
      </w:pPr>
      <w:r w:rsidRPr="007157A6">
        <w:rPr>
          <w:b/>
          <w:sz w:val="28"/>
          <w:lang w:val="en-GB"/>
        </w:rPr>
        <w:t>C</w:t>
      </w:r>
      <w:r w:rsidR="00717905">
        <w:rPr>
          <w:b/>
          <w:sz w:val="28"/>
          <w:lang w:val="en-GB"/>
        </w:rPr>
        <w:t>orporate Reporting</w:t>
      </w:r>
    </w:p>
    <w:p w14:paraId="43695582"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3923881A" w14:textId="77777777" w:rsidTr="00C850ED">
        <w:tc>
          <w:tcPr>
            <w:tcW w:w="8642" w:type="dxa"/>
            <w:shd w:val="clear" w:color="auto" w:fill="D9D9D9" w:themeFill="background1" w:themeFillShade="D9"/>
          </w:tcPr>
          <w:p w14:paraId="3B022249"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5BEA1DFD"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3F8D5A16"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2CC5DC67"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3DA5302A"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05357F72"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7066F720" w14:textId="77777777" w:rsidR="007157A6" w:rsidRPr="007157A6" w:rsidRDefault="007157A6" w:rsidP="007157A6">
            <w:pPr>
              <w:rPr>
                <w:b/>
                <w:lang w:val="en-GB"/>
              </w:rPr>
            </w:pPr>
            <w:r w:rsidRPr="007157A6">
              <w:rPr>
                <w:b/>
                <w:lang w:val="en-GB"/>
              </w:rPr>
              <w:t>1</w:t>
            </w:r>
          </w:p>
        </w:tc>
      </w:tr>
      <w:tr w:rsidR="007157A6" w:rsidRPr="007157A6" w14:paraId="0AF1D9E4" w14:textId="77777777" w:rsidTr="00C850ED">
        <w:tc>
          <w:tcPr>
            <w:tcW w:w="8642" w:type="dxa"/>
            <w:vMerge w:val="restart"/>
          </w:tcPr>
          <w:p w14:paraId="2329227E" w14:textId="77777777" w:rsidR="007157A6" w:rsidRPr="007157A6" w:rsidRDefault="007157A6" w:rsidP="007157A6">
            <w:pPr>
              <w:rPr>
                <w:lang w:val="en-GB"/>
              </w:rPr>
            </w:pPr>
            <w:r w:rsidRPr="007157A6">
              <w:rPr>
                <w:lang w:val="en-GB"/>
              </w:rPr>
              <w:t>Expand the scope of sustainability reporting obligation and/or the number of reporting entities in quantitative terms.</w:t>
            </w:r>
          </w:p>
        </w:tc>
        <w:tc>
          <w:tcPr>
            <w:tcW w:w="3544" w:type="dxa"/>
          </w:tcPr>
          <w:p w14:paraId="7C1CF577" w14:textId="77777777" w:rsidR="007157A6" w:rsidRPr="007157A6" w:rsidRDefault="007157A6" w:rsidP="007157A6">
            <w:pPr>
              <w:rPr>
                <w:lang w:val="en-GB"/>
              </w:rPr>
            </w:pPr>
            <w:r w:rsidRPr="007157A6">
              <w:rPr>
                <w:lang w:val="en-GB"/>
              </w:rPr>
              <w:t>Will foster Sustainable Finance in Germany</w:t>
            </w:r>
          </w:p>
        </w:tc>
        <w:tc>
          <w:tcPr>
            <w:tcW w:w="418" w:type="dxa"/>
          </w:tcPr>
          <w:p w14:paraId="7E01D12F" w14:textId="77777777" w:rsidR="007157A6" w:rsidRPr="007157A6" w:rsidRDefault="007157A6" w:rsidP="007157A6">
            <w:pPr>
              <w:rPr>
                <w:lang w:val="en-GB"/>
              </w:rPr>
            </w:pPr>
          </w:p>
        </w:tc>
        <w:tc>
          <w:tcPr>
            <w:tcW w:w="418" w:type="dxa"/>
          </w:tcPr>
          <w:p w14:paraId="26C2FB20" w14:textId="77777777" w:rsidR="007157A6" w:rsidRPr="007157A6" w:rsidRDefault="007157A6" w:rsidP="007157A6">
            <w:pPr>
              <w:rPr>
                <w:lang w:val="en-GB"/>
              </w:rPr>
            </w:pPr>
          </w:p>
        </w:tc>
        <w:tc>
          <w:tcPr>
            <w:tcW w:w="418" w:type="dxa"/>
          </w:tcPr>
          <w:p w14:paraId="2128C8A1" w14:textId="77777777" w:rsidR="007157A6" w:rsidRPr="007157A6" w:rsidRDefault="007157A6" w:rsidP="007157A6">
            <w:pPr>
              <w:rPr>
                <w:lang w:val="en-GB"/>
              </w:rPr>
            </w:pPr>
          </w:p>
        </w:tc>
        <w:tc>
          <w:tcPr>
            <w:tcW w:w="418" w:type="dxa"/>
          </w:tcPr>
          <w:p w14:paraId="34A57F56" w14:textId="77777777" w:rsidR="007157A6" w:rsidRPr="007157A6" w:rsidRDefault="007157A6" w:rsidP="007157A6">
            <w:pPr>
              <w:rPr>
                <w:lang w:val="en-GB"/>
              </w:rPr>
            </w:pPr>
          </w:p>
        </w:tc>
        <w:tc>
          <w:tcPr>
            <w:tcW w:w="419" w:type="dxa"/>
          </w:tcPr>
          <w:p w14:paraId="4C12DE95" w14:textId="77777777" w:rsidR="007157A6" w:rsidRPr="007157A6" w:rsidRDefault="007157A6" w:rsidP="007157A6">
            <w:pPr>
              <w:rPr>
                <w:lang w:val="en-GB"/>
              </w:rPr>
            </w:pPr>
          </w:p>
        </w:tc>
      </w:tr>
      <w:tr w:rsidR="007157A6" w:rsidRPr="007157A6" w14:paraId="1F80F4AA" w14:textId="77777777" w:rsidTr="00C850ED">
        <w:tc>
          <w:tcPr>
            <w:tcW w:w="8642" w:type="dxa"/>
            <w:vMerge/>
          </w:tcPr>
          <w:p w14:paraId="7B40B88C" w14:textId="77777777" w:rsidR="007157A6" w:rsidRPr="007157A6" w:rsidRDefault="007157A6" w:rsidP="007157A6">
            <w:pPr>
              <w:rPr>
                <w:lang w:val="en-GB"/>
              </w:rPr>
            </w:pPr>
          </w:p>
        </w:tc>
        <w:tc>
          <w:tcPr>
            <w:tcW w:w="3544" w:type="dxa"/>
          </w:tcPr>
          <w:p w14:paraId="7CF4BFF4" w14:textId="77777777" w:rsidR="007157A6" w:rsidRPr="007157A6" w:rsidRDefault="007157A6" w:rsidP="007157A6">
            <w:pPr>
              <w:rPr>
                <w:lang w:val="en-GB"/>
              </w:rPr>
            </w:pPr>
            <w:r w:rsidRPr="007157A6">
              <w:rPr>
                <w:lang w:val="en-GB"/>
              </w:rPr>
              <w:t>Level of ambition</w:t>
            </w:r>
          </w:p>
        </w:tc>
        <w:tc>
          <w:tcPr>
            <w:tcW w:w="418" w:type="dxa"/>
          </w:tcPr>
          <w:p w14:paraId="5474DF76" w14:textId="77777777" w:rsidR="007157A6" w:rsidRPr="007157A6" w:rsidRDefault="007157A6" w:rsidP="007157A6">
            <w:pPr>
              <w:rPr>
                <w:lang w:val="en-GB"/>
              </w:rPr>
            </w:pPr>
          </w:p>
        </w:tc>
        <w:tc>
          <w:tcPr>
            <w:tcW w:w="418" w:type="dxa"/>
          </w:tcPr>
          <w:p w14:paraId="22AD9A65" w14:textId="77777777" w:rsidR="007157A6" w:rsidRPr="007157A6" w:rsidRDefault="007157A6" w:rsidP="007157A6">
            <w:pPr>
              <w:rPr>
                <w:lang w:val="en-GB"/>
              </w:rPr>
            </w:pPr>
          </w:p>
        </w:tc>
        <w:tc>
          <w:tcPr>
            <w:tcW w:w="418" w:type="dxa"/>
          </w:tcPr>
          <w:p w14:paraId="7908D713" w14:textId="77777777" w:rsidR="007157A6" w:rsidRPr="007157A6" w:rsidRDefault="007157A6" w:rsidP="007157A6">
            <w:pPr>
              <w:rPr>
                <w:lang w:val="en-GB"/>
              </w:rPr>
            </w:pPr>
          </w:p>
        </w:tc>
        <w:tc>
          <w:tcPr>
            <w:tcW w:w="418" w:type="dxa"/>
          </w:tcPr>
          <w:p w14:paraId="632FF18E" w14:textId="77777777" w:rsidR="007157A6" w:rsidRPr="007157A6" w:rsidRDefault="007157A6" w:rsidP="007157A6">
            <w:pPr>
              <w:rPr>
                <w:lang w:val="en-GB"/>
              </w:rPr>
            </w:pPr>
          </w:p>
        </w:tc>
        <w:tc>
          <w:tcPr>
            <w:tcW w:w="419" w:type="dxa"/>
          </w:tcPr>
          <w:p w14:paraId="4152C5F4" w14:textId="77777777" w:rsidR="007157A6" w:rsidRPr="007157A6" w:rsidRDefault="007157A6" w:rsidP="007157A6">
            <w:pPr>
              <w:rPr>
                <w:lang w:val="en-GB"/>
              </w:rPr>
            </w:pPr>
          </w:p>
        </w:tc>
      </w:tr>
      <w:tr w:rsidR="007157A6" w:rsidRPr="007157A6" w14:paraId="3C160541" w14:textId="77777777" w:rsidTr="00C850ED">
        <w:tc>
          <w:tcPr>
            <w:tcW w:w="8642" w:type="dxa"/>
            <w:vMerge/>
          </w:tcPr>
          <w:p w14:paraId="3136DB20" w14:textId="77777777" w:rsidR="007157A6" w:rsidRPr="007157A6" w:rsidRDefault="007157A6" w:rsidP="007157A6">
            <w:pPr>
              <w:rPr>
                <w:lang w:val="en-GB"/>
              </w:rPr>
            </w:pPr>
          </w:p>
        </w:tc>
        <w:tc>
          <w:tcPr>
            <w:tcW w:w="3544" w:type="dxa"/>
          </w:tcPr>
          <w:p w14:paraId="20812B66" w14:textId="77777777" w:rsidR="007157A6" w:rsidRPr="007157A6" w:rsidRDefault="007157A6" w:rsidP="007157A6">
            <w:pPr>
              <w:rPr>
                <w:lang w:val="en-GB"/>
              </w:rPr>
            </w:pPr>
            <w:r w:rsidRPr="007157A6">
              <w:rPr>
                <w:lang w:val="en-GB"/>
              </w:rPr>
              <w:t>Practicability</w:t>
            </w:r>
          </w:p>
        </w:tc>
        <w:tc>
          <w:tcPr>
            <w:tcW w:w="418" w:type="dxa"/>
          </w:tcPr>
          <w:p w14:paraId="166ABA8E" w14:textId="77777777" w:rsidR="007157A6" w:rsidRPr="007157A6" w:rsidRDefault="007157A6" w:rsidP="007157A6">
            <w:pPr>
              <w:rPr>
                <w:lang w:val="en-GB"/>
              </w:rPr>
            </w:pPr>
          </w:p>
        </w:tc>
        <w:tc>
          <w:tcPr>
            <w:tcW w:w="418" w:type="dxa"/>
          </w:tcPr>
          <w:p w14:paraId="17838C8A" w14:textId="77777777" w:rsidR="007157A6" w:rsidRPr="007157A6" w:rsidRDefault="007157A6" w:rsidP="007157A6">
            <w:pPr>
              <w:rPr>
                <w:lang w:val="en-GB"/>
              </w:rPr>
            </w:pPr>
          </w:p>
        </w:tc>
        <w:tc>
          <w:tcPr>
            <w:tcW w:w="418" w:type="dxa"/>
          </w:tcPr>
          <w:p w14:paraId="2CB35164" w14:textId="77777777" w:rsidR="007157A6" w:rsidRPr="007157A6" w:rsidRDefault="007157A6" w:rsidP="007157A6">
            <w:pPr>
              <w:rPr>
                <w:lang w:val="en-GB"/>
              </w:rPr>
            </w:pPr>
          </w:p>
        </w:tc>
        <w:tc>
          <w:tcPr>
            <w:tcW w:w="418" w:type="dxa"/>
          </w:tcPr>
          <w:p w14:paraId="76463933" w14:textId="77777777" w:rsidR="007157A6" w:rsidRPr="007157A6" w:rsidRDefault="007157A6" w:rsidP="007157A6">
            <w:pPr>
              <w:rPr>
                <w:lang w:val="en-GB"/>
              </w:rPr>
            </w:pPr>
          </w:p>
        </w:tc>
        <w:tc>
          <w:tcPr>
            <w:tcW w:w="419" w:type="dxa"/>
          </w:tcPr>
          <w:p w14:paraId="7F0D4B7D" w14:textId="77777777" w:rsidR="007157A6" w:rsidRPr="007157A6" w:rsidRDefault="007157A6" w:rsidP="007157A6">
            <w:pPr>
              <w:rPr>
                <w:lang w:val="en-GB"/>
              </w:rPr>
            </w:pPr>
          </w:p>
        </w:tc>
      </w:tr>
      <w:tr w:rsidR="007157A6" w:rsidRPr="007157A6" w14:paraId="3C1ED4BF" w14:textId="77777777" w:rsidTr="00C850ED">
        <w:tc>
          <w:tcPr>
            <w:tcW w:w="8642" w:type="dxa"/>
            <w:vMerge/>
          </w:tcPr>
          <w:p w14:paraId="33D4586B" w14:textId="77777777" w:rsidR="007157A6" w:rsidRPr="007157A6" w:rsidRDefault="007157A6" w:rsidP="007157A6">
            <w:pPr>
              <w:rPr>
                <w:lang w:val="en-GB"/>
              </w:rPr>
            </w:pPr>
          </w:p>
        </w:tc>
        <w:tc>
          <w:tcPr>
            <w:tcW w:w="3544" w:type="dxa"/>
          </w:tcPr>
          <w:p w14:paraId="7450D77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C67AF59" w14:textId="77777777" w:rsidR="007157A6" w:rsidRPr="007157A6" w:rsidRDefault="007157A6" w:rsidP="007157A6">
            <w:pPr>
              <w:rPr>
                <w:lang w:val="en-GB"/>
              </w:rPr>
            </w:pPr>
          </w:p>
        </w:tc>
        <w:tc>
          <w:tcPr>
            <w:tcW w:w="418" w:type="dxa"/>
          </w:tcPr>
          <w:p w14:paraId="10BEDA8D" w14:textId="77777777" w:rsidR="007157A6" w:rsidRPr="007157A6" w:rsidRDefault="007157A6" w:rsidP="007157A6">
            <w:pPr>
              <w:rPr>
                <w:lang w:val="en-GB"/>
              </w:rPr>
            </w:pPr>
          </w:p>
        </w:tc>
        <w:tc>
          <w:tcPr>
            <w:tcW w:w="418" w:type="dxa"/>
          </w:tcPr>
          <w:p w14:paraId="04D3184F" w14:textId="77777777" w:rsidR="007157A6" w:rsidRPr="007157A6" w:rsidRDefault="007157A6" w:rsidP="007157A6">
            <w:pPr>
              <w:rPr>
                <w:lang w:val="en-GB"/>
              </w:rPr>
            </w:pPr>
          </w:p>
        </w:tc>
        <w:tc>
          <w:tcPr>
            <w:tcW w:w="418" w:type="dxa"/>
          </w:tcPr>
          <w:p w14:paraId="3158544F" w14:textId="77777777" w:rsidR="007157A6" w:rsidRPr="007157A6" w:rsidRDefault="007157A6" w:rsidP="007157A6">
            <w:pPr>
              <w:rPr>
                <w:lang w:val="en-GB"/>
              </w:rPr>
            </w:pPr>
          </w:p>
        </w:tc>
        <w:tc>
          <w:tcPr>
            <w:tcW w:w="419" w:type="dxa"/>
          </w:tcPr>
          <w:p w14:paraId="24A72ABA" w14:textId="77777777" w:rsidR="007157A6" w:rsidRPr="007157A6" w:rsidRDefault="007157A6" w:rsidP="007157A6">
            <w:pPr>
              <w:rPr>
                <w:lang w:val="en-GB"/>
              </w:rPr>
            </w:pPr>
          </w:p>
        </w:tc>
      </w:tr>
      <w:tr w:rsidR="007157A6" w:rsidRPr="007157A6" w14:paraId="64E949C7" w14:textId="77777777" w:rsidTr="00C850ED">
        <w:tc>
          <w:tcPr>
            <w:tcW w:w="8642" w:type="dxa"/>
            <w:shd w:val="clear" w:color="auto" w:fill="D9D9D9" w:themeFill="background1" w:themeFillShade="D9"/>
          </w:tcPr>
          <w:p w14:paraId="05D47F8D"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442E07BC"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34EB8406"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A34B405"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62EAF57D"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AD895CC"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1F7A7B3" w14:textId="77777777" w:rsidR="007157A6" w:rsidRPr="007157A6" w:rsidRDefault="007157A6" w:rsidP="007157A6">
            <w:pPr>
              <w:rPr>
                <w:lang w:val="en-GB"/>
              </w:rPr>
            </w:pPr>
            <w:r w:rsidRPr="007157A6">
              <w:rPr>
                <w:b/>
                <w:lang w:val="en-GB"/>
              </w:rPr>
              <w:t>1</w:t>
            </w:r>
          </w:p>
        </w:tc>
      </w:tr>
      <w:tr w:rsidR="007157A6" w:rsidRPr="007157A6" w14:paraId="0F54917D" w14:textId="77777777" w:rsidTr="00C850ED">
        <w:trPr>
          <w:trHeight w:val="596"/>
        </w:trPr>
        <w:tc>
          <w:tcPr>
            <w:tcW w:w="8642" w:type="dxa"/>
            <w:vMerge w:val="restart"/>
          </w:tcPr>
          <w:p w14:paraId="64C049A2" w14:textId="77777777" w:rsidR="007157A6" w:rsidRPr="007157A6" w:rsidRDefault="007157A6" w:rsidP="005050AB">
            <w:pPr>
              <w:rPr>
                <w:lang w:val="en-GB"/>
              </w:rPr>
            </w:pPr>
            <w:r w:rsidRPr="007157A6">
              <w:rPr>
                <w:lang w:val="en-GB"/>
              </w:rPr>
              <w:t>The current reporting obligation in respect of sustainability and/or non-financial matters pursuant to the Non-Financial Reporting Directive (NFRD) and/or the German Implementation Act (CSR-RUG) has increased the transparency of corporate reporting in Germany, which now also covers its effects on people and the environment as well as their (sustainability) strategies. The number of reporting entities is to be raised incrementally so that this positive development can be projected into broader sections of Germany’s corporate landscape. One conceivable option is to expand it to all joint-stock companies having more than 500 employees (including those which are not exchange-listed as per section 264d of the German Commercial Code (HGB)).</w:t>
            </w:r>
          </w:p>
        </w:tc>
        <w:tc>
          <w:tcPr>
            <w:tcW w:w="3544" w:type="dxa"/>
          </w:tcPr>
          <w:p w14:paraId="3FD5ACBC" w14:textId="77777777" w:rsidR="007157A6" w:rsidRPr="007157A6" w:rsidRDefault="007157A6" w:rsidP="007157A6">
            <w:pPr>
              <w:rPr>
                <w:lang w:val="en-GB"/>
              </w:rPr>
            </w:pPr>
            <w:r w:rsidRPr="007157A6">
              <w:rPr>
                <w:lang w:val="en-GB"/>
              </w:rPr>
              <w:t>Will foster Sustainable Finance in Germany</w:t>
            </w:r>
          </w:p>
        </w:tc>
        <w:tc>
          <w:tcPr>
            <w:tcW w:w="418" w:type="dxa"/>
          </w:tcPr>
          <w:p w14:paraId="03507CD2" w14:textId="77777777" w:rsidR="007157A6" w:rsidRPr="007157A6" w:rsidRDefault="007157A6" w:rsidP="007157A6">
            <w:pPr>
              <w:rPr>
                <w:lang w:val="en-GB"/>
              </w:rPr>
            </w:pPr>
          </w:p>
        </w:tc>
        <w:tc>
          <w:tcPr>
            <w:tcW w:w="418" w:type="dxa"/>
          </w:tcPr>
          <w:p w14:paraId="41D13392" w14:textId="77777777" w:rsidR="007157A6" w:rsidRPr="007157A6" w:rsidRDefault="007157A6" w:rsidP="007157A6">
            <w:pPr>
              <w:rPr>
                <w:lang w:val="en-GB"/>
              </w:rPr>
            </w:pPr>
          </w:p>
        </w:tc>
        <w:tc>
          <w:tcPr>
            <w:tcW w:w="418" w:type="dxa"/>
          </w:tcPr>
          <w:p w14:paraId="11B4331F" w14:textId="77777777" w:rsidR="007157A6" w:rsidRPr="007157A6" w:rsidRDefault="007157A6" w:rsidP="007157A6">
            <w:pPr>
              <w:rPr>
                <w:lang w:val="en-GB"/>
              </w:rPr>
            </w:pPr>
          </w:p>
        </w:tc>
        <w:tc>
          <w:tcPr>
            <w:tcW w:w="418" w:type="dxa"/>
          </w:tcPr>
          <w:p w14:paraId="4919F6E4" w14:textId="77777777" w:rsidR="007157A6" w:rsidRPr="007157A6" w:rsidRDefault="007157A6" w:rsidP="007157A6">
            <w:pPr>
              <w:rPr>
                <w:lang w:val="en-GB"/>
              </w:rPr>
            </w:pPr>
          </w:p>
        </w:tc>
        <w:tc>
          <w:tcPr>
            <w:tcW w:w="419" w:type="dxa"/>
          </w:tcPr>
          <w:p w14:paraId="04215F60" w14:textId="77777777" w:rsidR="007157A6" w:rsidRPr="007157A6" w:rsidRDefault="007157A6" w:rsidP="007157A6">
            <w:pPr>
              <w:rPr>
                <w:lang w:val="en-GB"/>
              </w:rPr>
            </w:pPr>
          </w:p>
        </w:tc>
      </w:tr>
      <w:tr w:rsidR="007157A6" w:rsidRPr="007157A6" w14:paraId="326B85A9" w14:textId="77777777" w:rsidTr="00C850ED">
        <w:trPr>
          <w:trHeight w:val="597"/>
        </w:trPr>
        <w:tc>
          <w:tcPr>
            <w:tcW w:w="8642" w:type="dxa"/>
            <w:vMerge/>
          </w:tcPr>
          <w:p w14:paraId="3A5E10F2" w14:textId="77777777" w:rsidR="007157A6" w:rsidRPr="007157A6" w:rsidRDefault="007157A6" w:rsidP="007157A6">
            <w:pPr>
              <w:rPr>
                <w:lang w:val="en-GB"/>
              </w:rPr>
            </w:pPr>
          </w:p>
        </w:tc>
        <w:tc>
          <w:tcPr>
            <w:tcW w:w="3544" w:type="dxa"/>
          </w:tcPr>
          <w:p w14:paraId="45BCF805" w14:textId="77777777" w:rsidR="007157A6" w:rsidRPr="007157A6" w:rsidRDefault="007157A6" w:rsidP="007157A6">
            <w:pPr>
              <w:rPr>
                <w:lang w:val="en-GB"/>
              </w:rPr>
            </w:pPr>
            <w:r w:rsidRPr="007157A6">
              <w:rPr>
                <w:lang w:val="en-GB"/>
              </w:rPr>
              <w:t>Level of ambition</w:t>
            </w:r>
          </w:p>
        </w:tc>
        <w:tc>
          <w:tcPr>
            <w:tcW w:w="418" w:type="dxa"/>
          </w:tcPr>
          <w:p w14:paraId="7D83A510" w14:textId="77777777" w:rsidR="007157A6" w:rsidRPr="007157A6" w:rsidRDefault="007157A6" w:rsidP="007157A6">
            <w:pPr>
              <w:rPr>
                <w:lang w:val="en-GB"/>
              </w:rPr>
            </w:pPr>
          </w:p>
        </w:tc>
        <w:tc>
          <w:tcPr>
            <w:tcW w:w="418" w:type="dxa"/>
          </w:tcPr>
          <w:p w14:paraId="3E60616E" w14:textId="77777777" w:rsidR="007157A6" w:rsidRPr="007157A6" w:rsidRDefault="007157A6" w:rsidP="007157A6">
            <w:pPr>
              <w:rPr>
                <w:lang w:val="en-GB"/>
              </w:rPr>
            </w:pPr>
          </w:p>
        </w:tc>
        <w:tc>
          <w:tcPr>
            <w:tcW w:w="418" w:type="dxa"/>
          </w:tcPr>
          <w:p w14:paraId="1286944D" w14:textId="77777777" w:rsidR="007157A6" w:rsidRPr="007157A6" w:rsidRDefault="007157A6" w:rsidP="007157A6">
            <w:pPr>
              <w:rPr>
                <w:lang w:val="en-GB"/>
              </w:rPr>
            </w:pPr>
          </w:p>
        </w:tc>
        <w:tc>
          <w:tcPr>
            <w:tcW w:w="418" w:type="dxa"/>
          </w:tcPr>
          <w:p w14:paraId="4FF4118F" w14:textId="77777777" w:rsidR="007157A6" w:rsidRPr="007157A6" w:rsidRDefault="007157A6" w:rsidP="007157A6">
            <w:pPr>
              <w:rPr>
                <w:lang w:val="en-GB"/>
              </w:rPr>
            </w:pPr>
          </w:p>
        </w:tc>
        <w:tc>
          <w:tcPr>
            <w:tcW w:w="419" w:type="dxa"/>
          </w:tcPr>
          <w:p w14:paraId="61526EA4" w14:textId="77777777" w:rsidR="007157A6" w:rsidRPr="007157A6" w:rsidRDefault="007157A6" w:rsidP="007157A6">
            <w:pPr>
              <w:rPr>
                <w:lang w:val="en-GB"/>
              </w:rPr>
            </w:pPr>
          </w:p>
        </w:tc>
      </w:tr>
      <w:tr w:rsidR="007157A6" w:rsidRPr="007157A6" w14:paraId="30C6365E" w14:textId="77777777" w:rsidTr="00C850ED">
        <w:trPr>
          <w:trHeight w:val="597"/>
        </w:trPr>
        <w:tc>
          <w:tcPr>
            <w:tcW w:w="8642" w:type="dxa"/>
            <w:vMerge/>
          </w:tcPr>
          <w:p w14:paraId="61F37670" w14:textId="77777777" w:rsidR="007157A6" w:rsidRPr="007157A6" w:rsidRDefault="007157A6" w:rsidP="007157A6">
            <w:pPr>
              <w:rPr>
                <w:lang w:val="en-GB"/>
              </w:rPr>
            </w:pPr>
          </w:p>
        </w:tc>
        <w:tc>
          <w:tcPr>
            <w:tcW w:w="3544" w:type="dxa"/>
          </w:tcPr>
          <w:p w14:paraId="5413A2EB" w14:textId="77777777" w:rsidR="007157A6" w:rsidRPr="007157A6" w:rsidRDefault="007157A6" w:rsidP="007157A6">
            <w:pPr>
              <w:rPr>
                <w:lang w:val="en-GB"/>
              </w:rPr>
            </w:pPr>
            <w:r w:rsidRPr="007157A6">
              <w:rPr>
                <w:lang w:val="en-GB"/>
              </w:rPr>
              <w:t>Practicability</w:t>
            </w:r>
          </w:p>
        </w:tc>
        <w:tc>
          <w:tcPr>
            <w:tcW w:w="418" w:type="dxa"/>
          </w:tcPr>
          <w:p w14:paraId="105DF15C" w14:textId="77777777" w:rsidR="007157A6" w:rsidRPr="007157A6" w:rsidRDefault="007157A6" w:rsidP="007157A6">
            <w:pPr>
              <w:rPr>
                <w:lang w:val="en-GB"/>
              </w:rPr>
            </w:pPr>
          </w:p>
        </w:tc>
        <w:tc>
          <w:tcPr>
            <w:tcW w:w="418" w:type="dxa"/>
          </w:tcPr>
          <w:p w14:paraId="7F00FDAE" w14:textId="77777777" w:rsidR="007157A6" w:rsidRPr="007157A6" w:rsidRDefault="007157A6" w:rsidP="007157A6">
            <w:pPr>
              <w:rPr>
                <w:lang w:val="en-GB"/>
              </w:rPr>
            </w:pPr>
          </w:p>
        </w:tc>
        <w:tc>
          <w:tcPr>
            <w:tcW w:w="418" w:type="dxa"/>
          </w:tcPr>
          <w:p w14:paraId="6411034E" w14:textId="77777777" w:rsidR="007157A6" w:rsidRPr="007157A6" w:rsidRDefault="007157A6" w:rsidP="007157A6">
            <w:pPr>
              <w:rPr>
                <w:lang w:val="en-GB"/>
              </w:rPr>
            </w:pPr>
          </w:p>
        </w:tc>
        <w:tc>
          <w:tcPr>
            <w:tcW w:w="418" w:type="dxa"/>
          </w:tcPr>
          <w:p w14:paraId="7BB8B45A" w14:textId="77777777" w:rsidR="007157A6" w:rsidRPr="007157A6" w:rsidRDefault="007157A6" w:rsidP="007157A6">
            <w:pPr>
              <w:rPr>
                <w:lang w:val="en-GB"/>
              </w:rPr>
            </w:pPr>
          </w:p>
        </w:tc>
        <w:tc>
          <w:tcPr>
            <w:tcW w:w="419" w:type="dxa"/>
          </w:tcPr>
          <w:p w14:paraId="77EBEBE9" w14:textId="77777777" w:rsidR="007157A6" w:rsidRPr="007157A6" w:rsidRDefault="007157A6" w:rsidP="007157A6">
            <w:pPr>
              <w:rPr>
                <w:lang w:val="en-GB"/>
              </w:rPr>
            </w:pPr>
          </w:p>
        </w:tc>
      </w:tr>
      <w:tr w:rsidR="007157A6" w:rsidRPr="007157A6" w14:paraId="6AF04377" w14:textId="77777777" w:rsidTr="00C850ED">
        <w:trPr>
          <w:trHeight w:val="597"/>
        </w:trPr>
        <w:tc>
          <w:tcPr>
            <w:tcW w:w="8642" w:type="dxa"/>
            <w:vMerge/>
          </w:tcPr>
          <w:p w14:paraId="3F207D34" w14:textId="77777777" w:rsidR="007157A6" w:rsidRPr="007157A6" w:rsidRDefault="007157A6" w:rsidP="007157A6">
            <w:pPr>
              <w:rPr>
                <w:lang w:val="en-GB"/>
              </w:rPr>
            </w:pPr>
          </w:p>
        </w:tc>
        <w:tc>
          <w:tcPr>
            <w:tcW w:w="3544" w:type="dxa"/>
          </w:tcPr>
          <w:p w14:paraId="5C70118D"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25E2A02" w14:textId="77777777" w:rsidR="007157A6" w:rsidRPr="007157A6" w:rsidRDefault="007157A6" w:rsidP="007157A6">
            <w:pPr>
              <w:rPr>
                <w:lang w:val="en-GB"/>
              </w:rPr>
            </w:pPr>
          </w:p>
        </w:tc>
        <w:tc>
          <w:tcPr>
            <w:tcW w:w="418" w:type="dxa"/>
          </w:tcPr>
          <w:p w14:paraId="017E7C20" w14:textId="77777777" w:rsidR="007157A6" w:rsidRPr="007157A6" w:rsidRDefault="007157A6" w:rsidP="007157A6">
            <w:pPr>
              <w:rPr>
                <w:lang w:val="en-GB"/>
              </w:rPr>
            </w:pPr>
          </w:p>
        </w:tc>
        <w:tc>
          <w:tcPr>
            <w:tcW w:w="418" w:type="dxa"/>
          </w:tcPr>
          <w:p w14:paraId="6C6C9297" w14:textId="77777777" w:rsidR="007157A6" w:rsidRPr="007157A6" w:rsidRDefault="007157A6" w:rsidP="007157A6">
            <w:pPr>
              <w:rPr>
                <w:lang w:val="en-GB"/>
              </w:rPr>
            </w:pPr>
          </w:p>
        </w:tc>
        <w:tc>
          <w:tcPr>
            <w:tcW w:w="418" w:type="dxa"/>
          </w:tcPr>
          <w:p w14:paraId="1C40A930" w14:textId="77777777" w:rsidR="007157A6" w:rsidRPr="007157A6" w:rsidRDefault="007157A6" w:rsidP="007157A6">
            <w:pPr>
              <w:rPr>
                <w:lang w:val="en-GB"/>
              </w:rPr>
            </w:pPr>
          </w:p>
        </w:tc>
        <w:tc>
          <w:tcPr>
            <w:tcW w:w="419" w:type="dxa"/>
          </w:tcPr>
          <w:p w14:paraId="77A75EE4" w14:textId="77777777" w:rsidR="007157A6" w:rsidRPr="007157A6" w:rsidRDefault="007157A6" w:rsidP="007157A6">
            <w:pPr>
              <w:rPr>
                <w:lang w:val="en-GB"/>
              </w:rPr>
            </w:pPr>
          </w:p>
        </w:tc>
      </w:tr>
      <w:tr w:rsidR="007157A6" w:rsidRPr="007157A6" w14:paraId="6EDA1B0C" w14:textId="77777777" w:rsidTr="00C850ED">
        <w:tc>
          <w:tcPr>
            <w:tcW w:w="8642" w:type="dxa"/>
            <w:shd w:val="clear" w:color="auto" w:fill="D9D9D9" w:themeFill="background1" w:themeFillShade="D9"/>
          </w:tcPr>
          <w:p w14:paraId="1E592923"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D8BF5C3"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D600FB5"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94772BD"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55098A49"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A0AF34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4122CB32" w14:textId="77777777" w:rsidR="007157A6" w:rsidRPr="007157A6" w:rsidRDefault="007157A6" w:rsidP="007157A6">
            <w:pPr>
              <w:rPr>
                <w:lang w:val="en-GB"/>
              </w:rPr>
            </w:pPr>
            <w:r w:rsidRPr="007157A6">
              <w:rPr>
                <w:b/>
                <w:lang w:val="en-GB"/>
              </w:rPr>
              <w:t>1</w:t>
            </w:r>
          </w:p>
        </w:tc>
      </w:tr>
      <w:tr w:rsidR="007157A6" w:rsidRPr="007157A6" w14:paraId="6A8D8D22" w14:textId="77777777" w:rsidTr="00C850ED">
        <w:tc>
          <w:tcPr>
            <w:tcW w:w="8642" w:type="dxa"/>
            <w:vMerge w:val="restart"/>
          </w:tcPr>
          <w:p w14:paraId="404C8C0D" w14:textId="77777777" w:rsidR="007157A6" w:rsidRPr="007157A6" w:rsidRDefault="007157A6" w:rsidP="007157A6">
            <w:pPr>
              <w:rPr>
                <w:lang w:val="en-GB"/>
              </w:rPr>
            </w:pPr>
            <w:r w:rsidRPr="007157A6">
              <w:rPr>
                <w:lang w:val="en-GB"/>
              </w:rPr>
              <w:t>Given the growing interest in information on the ecological and social effects of companies’ activities, all companies belonging to sectors whose activities entail particular material risks and ramifications for the environment, human rights and other aspects of sustainability (so-</w:t>
            </w:r>
            <w:r w:rsidRPr="007157A6">
              <w:rPr>
                <w:lang w:val="en-GB"/>
              </w:rPr>
              <w:lastRenderedPageBreak/>
              <w:t>called high-impact sectors) could be included in the reporting obligation as well. Here, particular attention should be paid to the supply chain.</w:t>
            </w:r>
          </w:p>
        </w:tc>
        <w:tc>
          <w:tcPr>
            <w:tcW w:w="3544" w:type="dxa"/>
          </w:tcPr>
          <w:p w14:paraId="53A5AFC1"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16546192" w14:textId="77777777" w:rsidR="007157A6" w:rsidRPr="007157A6" w:rsidRDefault="007157A6" w:rsidP="007157A6">
            <w:pPr>
              <w:rPr>
                <w:lang w:val="en-GB"/>
              </w:rPr>
            </w:pPr>
          </w:p>
        </w:tc>
        <w:tc>
          <w:tcPr>
            <w:tcW w:w="418" w:type="dxa"/>
          </w:tcPr>
          <w:p w14:paraId="3E2FEB71" w14:textId="77777777" w:rsidR="007157A6" w:rsidRPr="007157A6" w:rsidRDefault="007157A6" w:rsidP="007157A6">
            <w:pPr>
              <w:rPr>
                <w:lang w:val="en-GB"/>
              </w:rPr>
            </w:pPr>
          </w:p>
        </w:tc>
        <w:tc>
          <w:tcPr>
            <w:tcW w:w="418" w:type="dxa"/>
          </w:tcPr>
          <w:p w14:paraId="4F6819E1" w14:textId="77777777" w:rsidR="007157A6" w:rsidRPr="007157A6" w:rsidRDefault="007157A6" w:rsidP="007157A6">
            <w:pPr>
              <w:rPr>
                <w:lang w:val="en-GB"/>
              </w:rPr>
            </w:pPr>
          </w:p>
        </w:tc>
        <w:tc>
          <w:tcPr>
            <w:tcW w:w="418" w:type="dxa"/>
          </w:tcPr>
          <w:p w14:paraId="67B59FAF" w14:textId="77777777" w:rsidR="007157A6" w:rsidRPr="007157A6" w:rsidRDefault="007157A6" w:rsidP="007157A6">
            <w:pPr>
              <w:rPr>
                <w:lang w:val="en-GB"/>
              </w:rPr>
            </w:pPr>
          </w:p>
        </w:tc>
        <w:tc>
          <w:tcPr>
            <w:tcW w:w="419" w:type="dxa"/>
          </w:tcPr>
          <w:p w14:paraId="3DBBD956" w14:textId="77777777" w:rsidR="007157A6" w:rsidRPr="007157A6" w:rsidRDefault="007157A6" w:rsidP="007157A6">
            <w:pPr>
              <w:rPr>
                <w:lang w:val="en-GB"/>
              </w:rPr>
            </w:pPr>
          </w:p>
        </w:tc>
      </w:tr>
      <w:tr w:rsidR="007157A6" w:rsidRPr="007157A6" w14:paraId="7DF3AB94" w14:textId="77777777" w:rsidTr="00C850ED">
        <w:tc>
          <w:tcPr>
            <w:tcW w:w="8642" w:type="dxa"/>
            <w:vMerge/>
          </w:tcPr>
          <w:p w14:paraId="536C49D6" w14:textId="77777777" w:rsidR="007157A6" w:rsidRPr="007157A6" w:rsidRDefault="007157A6" w:rsidP="007157A6">
            <w:pPr>
              <w:rPr>
                <w:lang w:val="en-GB"/>
              </w:rPr>
            </w:pPr>
          </w:p>
        </w:tc>
        <w:tc>
          <w:tcPr>
            <w:tcW w:w="3544" w:type="dxa"/>
          </w:tcPr>
          <w:p w14:paraId="7C597393" w14:textId="77777777" w:rsidR="007157A6" w:rsidRPr="007157A6" w:rsidRDefault="007157A6" w:rsidP="007157A6">
            <w:pPr>
              <w:rPr>
                <w:lang w:val="en-GB"/>
              </w:rPr>
            </w:pPr>
            <w:r w:rsidRPr="007157A6">
              <w:rPr>
                <w:lang w:val="en-GB"/>
              </w:rPr>
              <w:t>Level of ambition</w:t>
            </w:r>
          </w:p>
        </w:tc>
        <w:tc>
          <w:tcPr>
            <w:tcW w:w="418" w:type="dxa"/>
          </w:tcPr>
          <w:p w14:paraId="0EB3D0A2" w14:textId="77777777" w:rsidR="007157A6" w:rsidRPr="007157A6" w:rsidRDefault="007157A6" w:rsidP="007157A6">
            <w:pPr>
              <w:rPr>
                <w:lang w:val="en-GB"/>
              </w:rPr>
            </w:pPr>
          </w:p>
        </w:tc>
        <w:tc>
          <w:tcPr>
            <w:tcW w:w="418" w:type="dxa"/>
          </w:tcPr>
          <w:p w14:paraId="23577EA4" w14:textId="77777777" w:rsidR="007157A6" w:rsidRPr="007157A6" w:rsidRDefault="007157A6" w:rsidP="007157A6">
            <w:pPr>
              <w:rPr>
                <w:lang w:val="en-GB"/>
              </w:rPr>
            </w:pPr>
          </w:p>
        </w:tc>
        <w:tc>
          <w:tcPr>
            <w:tcW w:w="418" w:type="dxa"/>
          </w:tcPr>
          <w:p w14:paraId="6EA21E5C" w14:textId="77777777" w:rsidR="007157A6" w:rsidRPr="007157A6" w:rsidRDefault="007157A6" w:rsidP="007157A6">
            <w:pPr>
              <w:rPr>
                <w:lang w:val="en-GB"/>
              </w:rPr>
            </w:pPr>
          </w:p>
        </w:tc>
        <w:tc>
          <w:tcPr>
            <w:tcW w:w="418" w:type="dxa"/>
          </w:tcPr>
          <w:p w14:paraId="5C73A5E2" w14:textId="77777777" w:rsidR="007157A6" w:rsidRPr="007157A6" w:rsidRDefault="007157A6" w:rsidP="007157A6">
            <w:pPr>
              <w:rPr>
                <w:lang w:val="en-GB"/>
              </w:rPr>
            </w:pPr>
          </w:p>
        </w:tc>
        <w:tc>
          <w:tcPr>
            <w:tcW w:w="419" w:type="dxa"/>
          </w:tcPr>
          <w:p w14:paraId="5BAFAFAF" w14:textId="77777777" w:rsidR="007157A6" w:rsidRPr="007157A6" w:rsidRDefault="007157A6" w:rsidP="007157A6">
            <w:pPr>
              <w:rPr>
                <w:lang w:val="en-GB"/>
              </w:rPr>
            </w:pPr>
          </w:p>
        </w:tc>
      </w:tr>
      <w:tr w:rsidR="007157A6" w:rsidRPr="007157A6" w14:paraId="75AB6D29" w14:textId="77777777" w:rsidTr="00C850ED">
        <w:tc>
          <w:tcPr>
            <w:tcW w:w="8642" w:type="dxa"/>
            <w:vMerge/>
          </w:tcPr>
          <w:p w14:paraId="080A5943" w14:textId="77777777" w:rsidR="007157A6" w:rsidRPr="007157A6" w:rsidRDefault="007157A6" w:rsidP="007157A6">
            <w:pPr>
              <w:rPr>
                <w:lang w:val="en-GB"/>
              </w:rPr>
            </w:pPr>
          </w:p>
        </w:tc>
        <w:tc>
          <w:tcPr>
            <w:tcW w:w="3544" w:type="dxa"/>
          </w:tcPr>
          <w:p w14:paraId="100F02A2" w14:textId="77777777" w:rsidR="007157A6" w:rsidRPr="007157A6" w:rsidRDefault="007157A6" w:rsidP="007157A6">
            <w:pPr>
              <w:rPr>
                <w:lang w:val="en-GB"/>
              </w:rPr>
            </w:pPr>
            <w:r w:rsidRPr="007157A6">
              <w:rPr>
                <w:lang w:val="en-GB"/>
              </w:rPr>
              <w:t>Practicability</w:t>
            </w:r>
          </w:p>
        </w:tc>
        <w:tc>
          <w:tcPr>
            <w:tcW w:w="418" w:type="dxa"/>
          </w:tcPr>
          <w:p w14:paraId="2AE4C989" w14:textId="77777777" w:rsidR="007157A6" w:rsidRPr="007157A6" w:rsidRDefault="007157A6" w:rsidP="007157A6">
            <w:pPr>
              <w:rPr>
                <w:lang w:val="en-GB"/>
              </w:rPr>
            </w:pPr>
          </w:p>
        </w:tc>
        <w:tc>
          <w:tcPr>
            <w:tcW w:w="418" w:type="dxa"/>
          </w:tcPr>
          <w:p w14:paraId="26144797" w14:textId="77777777" w:rsidR="007157A6" w:rsidRPr="007157A6" w:rsidRDefault="007157A6" w:rsidP="007157A6">
            <w:pPr>
              <w:rPr>
                <w:lang w:val="en-GB"/>
              </w:rPr>
            </w:pPr>
          </w:p>
        </w:tc>
        <w:tc>
          <w:tcPr>
            <w:tcW w:w="418" w:type="dxa"/>
          </w:tcPr>
          <w:p w14:paraId="730B35E2" w14:textId="77777777" w:rsidR="007157A6" w:rsidRPr="007157A6" w:rsidRDefault="007157A6" w:rsidP="007157A6">
            <w:pPr>
              <w:rPr>
                <w:lang w:val="en-GB"/>
              </w:rPr>
            </w:pPr>
          </w:p>
        </w:tc>
        <w:tc>
          <w:tcPr>
            <w:tcW w:w="418" w:type="dxa"/>
          </w:tcPr>
          <w:p w14:paraId="101F0AA0" w14:textId="77777777" w:rsidR="007157A6" w:rsidRPr="007157A6" w:rsidRDefault="007157A6" w:rsidP="007157A6">
            <w:pPr>
              <w:rPr>
                <w:lang w:val="en-GB"/>
              </w:rPr>
            </w:pPr>
          </w:p>
        </w:tc>
        <w:tc>
          <w:tcPr>
            <w:tcW w:w="419" w:type="dxa"/>
          </w:tcPr>
          <w:p w14:paraId="11E768C8" w14:textId="77777777" w:rsidR="007157A6" w:rsidRPr="007157A6" w:rsidRDefault="007157A6" w:rsidP="007157A6">
            <w:pPr>
              <w:rPr>
                <w:lang w:val="en-GB"/>
              </w:rPr>
            </w:pPr>
          </w:p>
        </w:tc>
      </w:tr>
      <w:tr w:rsidR="007157A6" w:rsidRPr="007157A6" w14:paraId="1492766B" w14:textId="77777777" w:rsidTr="00C850ED">
        <w:tc>
          <w:tcPr>
            <w:tcW w:w="8642" w:type="dxa"/>
            <w:vMerge/>
          </w:tcPr>
          <w:p w14:paraId="4C87BA0D" w14:textId="77777777" w:rsidR="007157A6" w:rsidRPr="007157A6" w:rsidRDefault="007157A6" w:rsidP="007157A6">
            <w:pPr>
              <w:rPr>
                <w:lang w:val="en-GB"/>
              </w:rPr>
            </w:pPr>
          </w:p>
        </w:tc>
        <w:tc>
          <w:tcPr>
            <w:tcW w:w="3544" w:type="dxa"/>
          </w:tcPr>
          <w:p w14:paraId="0DF95DD1"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3290CD47" w14:textId="77777777" w:rsidR="007157A6" w:rsidRPr="007157A6" w:rsidRDefault="007157A6" w:rsidP="007157A6">
            <w:pPr>
              <w:rPr>
                <w:lang w:val="en-GB"/>
              </w:rPr>
            </w:pPr>
          </w:p>
        </w:tc>
        <w:tc>
          <w:tcPr>
            <w:tcW w:w="418" w:type="dxa"/>
          </w:tcPr>
          <w:p w14:paraId="781FF907" w14:textId="77777777" w:rsidR="007157A6" w:rsidRPr="007157A6" w:rsidRDefault="007157A6" w:rsidP="007157A6">
            <w:pPr>
              <w:rPr>
                <w:lang w:val="en-GB"/>
              </w:rPr>
            </w:pPr>
          </w:p>
        </w:tc>
        <w:tc>
          <w:tcPr>
            <w:tcW w:w="418" w:type="dxa"/>
          </w:tcPr>
          <w:p w14:paraId="7DA17262" w14:textId="77777777" w:rsidR="007157A6" w:rsidRPr="007157A6" w:rsidRDefault="007157A6" w:rsidP="007157A6">
            <w:pPr>
              <w:rPr>
                <w:lang w:val="en-GB"/>
              </w:rPr>
            </w:pPr>
          </w:p>
        </w:tc>
        <w:tc>
          <w:tcPr>
            <w:tcW w:w="418" w:type="dxa"/>
          </w:tcPr>
          <w:p w14:paraId="35AE08B9" w14:textId="77777777" w:rsidR="007157A6" w:rsidRPr="007157A6" w:rsidRDefault="007157A6" w:rsidP="007157A6">
            <w:pPr>
              <w:rPr>
                <w:lang w:val="en-GB"/>
              </w:rPr>
            </w:pPr>
          </w:p>
        </w:tc>
        <w:tc>
          <w:tcPr>
            <w:tcW w:w="419" w:type="dxa"/>
          </w:tcPr>
          <w:p w14:paraId="70916311" w14:textId="77777777" w:rsidR="007157A6" w:rsidRPr="007157A6" w:rsidRDefault="007157A6" w:rsidP="007157A6">
            <w:pPr>
              <w:rPr>
                <w:lang w:val="en-GB"/>
              </w:rPr>
            </w:pPr>
          </w:p>
        </w:tc>
      </w:tr>
      <w:tr w:rsidR="007157A6" w:rsidRPr="007157A6" w14:paraId="081A4B41" w14:textId="77777777" w:rsidTr="00C850ED">
        <w:tc>
          <w:tcPr>
            <w:tcW w:w="8642" w:type="dxa"/>
            <w:shd w:val="clear" w:color="auto" w:fill="D9D9D9" w:themeFill="background1" w:themeFillShade="D9"/>
          </w:tcPr>
          <w:p w14:paraId="51D5A86F"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0CAB81B2"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2A9B3533"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1F54AD76"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0E8F49BC"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2A0C57D0"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369187FA" w14:textId="77777777" w:rsidR="007157A6" w:rsidRPr="007157A6" w:rsidRDefault="007157A6" w:rsidP="007157A6">
            <w:pPr>
              <w:rPr>
                <w:b/>
                <w:lang w:val="en-GB"/>
              </w:rPr>
            </w:pPr>
            <w:r w:rsidRPr="007157A6">
              <w:rPr>
                <w:b/>
                <w:lang w:val="en-GB"/>
              </w:rPr>
              <w:t>1</w:t>
            </w:r>
          </w:p>
        </w:tc>
      </w:tr>
      <w:tr w:rsidR="007157A6" w:rsidRPr="007157A6" w14:paraId="468E2032" w14:textId="77777777" w:rsidTr="00C850ED">
        <w:tc>
          <w:tcPr>
            <w:tcW w:w="8642" w:type="dxa"/>
            <w:vMerge w:val="restart"/>
          </w:tcPr>
          <w:p w14:paraId="73C5B063" w14:textId="77777777" w:rsidR="007157A6" w:rsidRPr="007157A6" w:rsidRDefault="007157A6" w:rsidP="007157A6">
            <w:pPr>
              <w:rPr>
                <w:lang w:val="en-GB"/>
              </w:rPr>
            </w:pPr>
            <w:r w:rsidRPr="007157A6">
              <w:rPr>
                <w:lang w:val="en-GB"/>
              </w:rPr>
              <w:t>Clarify and expand the disclosures required under the reporting obligation in Germany in qualitative terms.</w:t>
            </w:r>
          </w:p>
        </w:tc>
        <w:tc>
          <w:tcPr>
            <w:tcW w:w="3544" w:type="dxa"/>
          </w:tcPr>
          <w:p w14:paraId="020CB384" w14:textId="77777777" w:rsidR="007157A6" w:rsidRPr="007157A6" w:rsidRDefault="007157A6" w:rsidP="007157A6">
            <w:pPr>
              <w:rPr>
                <w:lang w:val="en-GB"/>
              </w:rPr>
            </w:pPr>
            <w:r w:rsidRPr="007157A6">
              <w:rPr>
                <w:lang w:val="en-GB"/>
              </w:rPr>
              <w:t>Will foster Sustainable Finance in Germany</w:t>
            </w:r>
          </w:p>
        </w:tc>
        <w:tc>
          <w:tcPr>
            <w:tcW w:w="418" w:type="dxa"/>
          </w:tcPr>
          <w:p w14:paraId="3C4F71A5" w14:textId="77777777" w:rsidR="007157A6" w:rsidRPr="007157A6" w:rsidRDefault="007157A6" w:rsidP="007157A6">
            <w:pPr>
              <w:rPr>
                <w:lang w:val="en-GB"/>
              </w:rPr>
            </w:pPr>
          </w:p>
        </w:tc>
        <w:tc>
          <w:tcPr>
            <w:tcW w:w="418" w:type="dxa"/>
          </w:tcPr>
          <w:p w14:paraId="4EC7A49B" w14:textId="77777777" w:rsidR="007157A6" w:rsidRPr="007157A6" w:rsidRDefault="007157A6" w:rsidP="007157A6">
            <w:pPr>
              <w:rPr>
                <w:lang w:val="en-GB"/>
              </w:rPr>
            </w:pPr>
          </w:p>
        </w:tc>
        <w:tc>
          <w:tcPr>
            <w:tcW w:w="418" w:type="dxa"/>
          </w:tcPr>
          <w:p w14:paraId="5C029ABC" w14:textId="77777777" w:rsidR="007157A6" w:rsidRPr="007157A6" w:rsidRDefault="007157A6" w:rsidP="007157A6">
            <w:pPr>
              <w:rPr>
                <w:lang w:val="en-GB"/>
              </w:rPr>
            </w:pPr>
          </w:p>
        </w:tc>
        <w:tc>
          <w:tcPr>
            <w:tcW w:w="418" w:type="dxa"/>
          </w:tcPr>
          <w:p w14:paraId="6AF702A0" w14:textId="77777777" w:rsidR="007157A6" w:rsidRPr="007157A6" w:rsidRDefault="007157A6" w:rsidP="007157A6">
            <w:pPr>
              <w:rPr>
                <w:lang w:val="en-GB"/>
              </w:rPr>
            </w:pPr>
          </w:p>
        </w:tc>
        <w:tc>
          <w:tcPr>
            <w:tcW w:w="419" w:type="dxa"/>
          </w:tcPr>
          <w:p w14:paraId="212C9649" w14:textId="77777777" w:rsidR="007157A6" w:rsidRPr="007157A6" w:rsidRDefault="007157A6" w:rsidP="007157A6">
            <w:pPr>
              <w:rPr>
                <w:lang w:val="en-GB"/>
              </w:rPr>
            </w:pPr>
          </w:p>
        </w:tc>
      </w:tr>
      <w:tr w:rsidR="007157A6" w:rsidRPr="007157A6" w14:paraId="15A17CBE" w14:textId="77777777" w:rsidTr="00C850ED">
        <w:tc>
          <w:tcPr>
            <w:tcW w:w="8642" w:type="dxa"/>
            <w:vMerge/>
          </w:tcPr>
          <w:p w14:paraId="55760869" w14:textId="77777777" w:rsidR="007157A6" w:rsidRPr="007157A6" w:rsidRDefault="007157A6" w:rsidP="007157A6">
            <w:pPr>
              <w:rPr>
                <w:lang w:val="en-GB"/>
              </w:rPr>
            </w:pPr>
          </w:p>
        </w:tc>
        <w:tc>
          <w:tcPr>
            <w:tcW w:w="3544" w:type="dxa"/>
          </w:tcPr>
          <w:p w14:paraId="2C2D93B7" w14:textId="77777777" w:rsidR="007157A6" w:rsidRPr="007157A6" w:rsidRDefault="007157A6" w:rsidP="007157A6">
            <w:pPr>
              <w:rPr>
                <w:lang w:val="en-GB"/>
              </w:rPr>
            </w:pPr>
            <w:r w:rsidRPr="007157A6">
              <w:rPr>
                <w:lang w:val="en-GB"/>
              </w:rPr>
              <w:t>Level of ambition</w:t>
            </w:r>
          </w:p>
        </w:tc>
        <w:tc>
          <w:tcPr>
            <w:tcW w:w="418" w:type="dxa"/>
          </w:tcPr>
          <w:p w14:paraId="6B8898B6" w14:textId="77777777" w:rsidR="007157A6" w:rsidRPr="007157A6" w:rsidRDefault="007157A6" w:rsidP="007157A6">
            <w:pPr>
              <w:rPr>
                <w:lang w:val="en-GB"/>
              </w:rPr>
            </w:pPr>
          </w:p>
        </w:tc>
        <w:tc>
          <w:tcPr>
            <w:tcW w:w="418" w:type="dxa"/>
          </w:tcPr>
          <w:p w14:paraId="72577806" w14:textId="77777777" w:rsidR="007157A6" w:rsidRPr="007157A6" w:rsidRDefault="007157A6" w:rsidP="007157A6">
            <w:pPr>
              <w:rPr>
                <w:lang w:val="en-GB"/>
              </w:rPr>
            </w:pPr>
          </w:p>
        </w:tc>
        <w:tc>
          <w:tcPr>
            <w:tcW w:w="418" w:type="dxa"/>
          </w:tcPr>
          <w:p w14:paraId="20A46C67" w14:textId="77777777" w:rsidR="007157A6" w:rsidRPr="007157A6" w:rsidRDefault="007157A6" w:rsidP="007157A6">
            <w:pPr>
              <w:rPr>
                <w:lang w:val="en-GB"/>
              </w:rPr>
            </w:pPr>
          </w:p>
        </w:tc>
        <w:tc>
          <w:tcPr>
            <w:tcW w:w="418" w:type="dxa"/>
          </w:tcPr>
          <w:p w14:paraId="5EDF6663" w14:textId="77777777" w:rsidR="007157A6" w:rsidRPr="007157A6" w:rsidRDefault="007157A6" w:rsidP="007157A6">
            <w:pPr>
              <w:rPr>
                <w:lang w:val="en-GB"/>
              </w:rPr>
            </w:pPr>
          </w:p>
        </w:tc>
        <w:tc>
          <w:tcPr>
            <w:tcW w:w="419" w:type="dxa"/>
          </w:tcPr>
          <w:p w14:paraId="3B67BBEE" w14:textId="77777777" w:rsidR="007157A6" w:rsidRPr="007157A6" w:rsidRDefault="007157A6" w:rsidP="007157A6">
            <w:pPr>
              <w:rPr>
                <w:lang w:val="en-GB"/>
              </w:rPr>
            </w:pPr>
          </w:p>
        </w:tc>
      </w:tr>
      <w:tr w:rsidR="007157A6" w:rsidRPr="007157A6" w14:paraId="70C19D48" w14:textId="77777777" w:rsidTr="00C850ED">
        <w:tc>
          <w:tcPr>
            <w:tcW w:w="8642" w:type="dxa"/>
            <w:vMerge/>
          </w:tcPr>
          <w:p w14:paraId="6F3B5259" w14:textId="77777777" w:rsidR="007157A6" w:rsidRPr="007157A6" w:rsidRDefault="007157A6" w:rsidP="007157A6">
            <w:pPr>
              <w:rPr>
                <w:lang w:val="en-GB"/>
              </w:rPr>
            </w:pPr>
          </w:p>
        </w:tc>
        <w:tc>
          <w:tcPr>
            <w:tcW w:w="3544" w:type="dxa"/>
          </w:tcPr>
          <w:p w14:paraId="51D30B8E" w14:textId="77777777" w:rsidR="007157A6" w:rsidRPr="007157A6" w:rsidRDefault="007157A6" w:rsidP="007157A6">
            <w:pPr>
              <w:rPr>
                <w:lang w:val="en-GB"/>
              </w:rPr>
            </w:pPr>
            <w:r w:rsidRPr="007157A6">
              <w:rPr>
                <w:lang w:val="en-GB"/>
              </w:rPr>
              <w:t>Practicability</w:t>
            </w:r>
          </w:p>
        </w:tc>
        <w:tc>
          <w:tcPr>
            <w:tcW w:w="418" w:type="dxa"/>
          </w:tcPr>
          <w:p w14:paraId="286F1DBB" w14:textId="77777777" w:rsidR="007157A6" w:rsidRPr="007157A6" w:rsidRDefault="007157A6" w:rsidP="007157A6">
            <w:pPr>
              <w:rPr>
                <w:lang w:val="en-GB"/>
              </w:rPr>
            </w:pPr>
          </w:p>
        </w:tc>
        <w:tc>
          <w:tcPr>
            <w:tcW w:w="418" w:type="dxa"/>
          </w:tcPr>
          <w:p w14:paraId="49D44BED" w14:textId="77777777" w:rsidR="007157A6" w:rsidRPr="007157A6" w:rsidRDefault="007157A6" w:rsidP="007157A6">
            <w:pPr>
              <w:rPr>
                <w:lang w:val="en-GB"/>
              </w:rPr>
            </w:pPr>
          </w:p>
        </w:tc>
        <w:tc>
          <w:tcPr>
            <w:tcW w:w="418" w:type="dxa"/>
          </w:tcPr>
          <w:p w14:paraId="70719764" w14:textId="77777777" w:rsidR="007157A6" w:rsidRPr="007157A6" w:rsidRDefault="007157A6" w:rsidP="007157A6">
            <w:pPr>
              <w:rPr>
                <w:lang w:val="en-GB"/>
              </w:rPr>
            </w:pPr>
          </w:p>
        </w:tc>
        <w:tc>
          <w:tcPr>
            <w:tcW w:w="418" w:type="dxa"/>
          </w:tcPr>
          <w:p w14:paraId="50C9BE6E" w14:textId="77777777" w:rsidR="007157A6" w:rsidRPr="007157A6" w:rsidRDefault="007157A6" w:rsidP="007157A6">
            <w:pPr>
              <w:rPr>
                <w:lang w:val="en-GB"/>
              </w:rPr>
            </w:pPr>
          </w:p>
        </w:tc>
        <w:tc>
          <w:tcPr>
            <w:tcW w:w="419" w:type="dxa"/>
          </w:tcPr>
          <w:p w14:paraId="669B5966" w14:textId="77777777" w:rsidR="007157A6" w:rsidRPr="007157A6" w:rsidRDefault="007157A6" w:rsidP="007157A6">
            <w:pPr>
              <w:rPr>
                <w:lang w:val="en-GB"/>
              </w:rPr>
            </w:pPr>
          </w:p>
        </w:tc>
      </w:tr>
      <w:tr w:rsidR="007157A6" w:rsidRPr="007157A6" w14:paraId="76A610B6" w14:textId="77777777" w:rsidTr="00C850ED">
        <w:tc>
          <w:tcPr>
            <w:tcW w:w="8642" w:type="dxa"/>
            <w:vMerge/>
          </w:tcPr>
          <w:p w14:paraId="4EBBBD54" w14:textId="77777777" w:rsidR="007157A6" w:rsidRPr="007157A6" w:rsidRDefault="007157A6" w:rsidP="007157A6">
            <w:pPr>
              <w:rPr>
                <w:lang w:val="en-GB"/>
              </w:rPr>
            </w:pPr>
          </w:p>
        </w:tc>
        <w:tc>
          <w:tcPr>
            <w:tcW w:w="3544" w:type="dxa"/>
          </w:tcPr>
          <w:p w14:paraId="135B2832"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B21B020" w14:textId="77777777" w:rsidR="007157A6" w:rsidRPr="007157A6" w:rsidRDefault="007157A6" w:rsidP="007157A6">
            <w:pPr>
              <w:rPr>
                <w:lang w:val="en-GB"/>
              </w:rPr>
            </w:pPr>
          </w:p>
        </w:tc>
        <w:tc>
          <w:tcPr>
            <w:tcW w:w="418" w:type="dxa"/>
          </w:tcPr>
          <w:p w14:paraId="466E8AAD" w14:textId="77777777" w:rsidR="007157A6" w:rsidRPr="007157A6" w:rsidRDefault="007157A6" w:rsidP="007157A6">
            <w:pPr>
              <w:rPr>
                <w:lang w:val="en-GB"/>
              </w:rPr>
            </w:pPr>
          </w:p>
        </w:tc>
        <w:tc>
          <w:tcPr>
            <w:tcW w:w="418" w:type="dxa"/>
          </w:tcPr>
          <w:p w14:paraId="19CADA87" w14:textId="77777777" w:rsidR="007157A6" w:rsidRPr="007157A6" w:rsidRDefault="007157A6" w:rsidP="007157A6">
            <w:pPr>
              <w:rPr>
                <w:lang w:val="en-GB"/>
              </w:rPr>
            </w:pPr>
          </w:p>
        </w:tc>
        <w:tc>
          <w:tcPr>
            <w:tcW w:w="418" w:type="dxa"/>
          </w:tcPr>
          <w:p w14:paraId="162E320E" w14:textId="77777777" w:rsidR="007157A6" w:rsidRPr="007157A6" w:rsidRDefault="007157A6" w:rsidP="007157A6">
            <w:pPr>
              <w:rPr>
                <w:lang w:val="en-GB"/>
              </w:rPr>
            </w:pPr>
          </w:p>
        </w:tc>
        <w:tc>
          <w:tcPr>
            <w:tcW w:w="419" w:type="dxa"/>
          </w:tcPr>
          <w:p w14:paraId="054301BB" w14:textId="77777777" w:rsidR="007157A6" w:rsidRPr="007157A6" w:rsidRDefault="007157A6" w:rsidP="007157A6">
            <w:pPr>
              <w:rPr>
                <w:lang w:val="en-GB"/>
              </w:rPr>
            </w:pPr>
          </w:p>
        </w:tc>
      </w:tr>
      <w:tr w:rsidR="007157A6" w:rsidRPr="007157A6" w14:paraId="6B7DBC22" w14:textId="77777777" w:rsidTr="00C850ED">
        <w:tc>
          <w:tcPr>
            <w:tcW w:w="8642" w:type="dxa"/>
            <w:shd w:val="clear" w:color="auto" w:fill="D9D9D9" w:themeFill="background1" w:themeFillShade="D9"/>
          </w:tcPr>
          <w:p w14:paraId="5BDC15A5"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5373AC7"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2D6A3FB"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F5DBD29"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1A2E93BB"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07E62B81"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241F9AAE" w14:textId="77777777" w:rsidR="007157A6" w:rsidRPr="007157A6" w:rsidRDefault="007157A6" w:rsidP="007157A6">
            <w:pPr>
              <w:rPr>
                <w:lang w:val="en-GB"/>
              </w:rPr>
            </w:pPr>
            <w:r w:rsidRPr="007157A6">
              <w:rPr>
                <w:b/>
                <w:lang w:val="en-GB"/>
              </w:rPr>
              <w:t>1</w:t>
            </w:r>
          </w:p>
        </w:tc>
      </w:tr>
      <w:tr w:rsidR="007157A6" w:rsidRPr="007157A6" w14:paraId="01D495B0" w14:textId="77777777" w:rsidTr="00C850ED">
        <w:tc>
          <w:tcPr>
            <w:tcW w:w="8642" w:type="dxa"/>
            <w:vMerge w:val="restart"/>
          </w:tcPr>
          <w:p w14:paraId="51A743A9" w14:textId="77777777" w:rsidR="007157A6" w:rsidRPr="007157A6" w:rsidRDefault="007157A6" w:rsidP="007157A6">
            <w:pPr>
              <w:rPr>
                <w:lang w:val="en-GB"/>
              </w:rPr>
            </w:pPr>
            <w:r w:rsidRPr="007157A6">
              <w:rPr>
                <w:lang w:val="en-GB"/>
              </w:rPr>
              <w:t>The quality of companies’ disclosures will improve once the content of the reports prepared pursuant to the sustainability reporting obligation is specified and refined first at the level of the EU and then at the national level as part of the currently pending and started review of the NFRD.</w:t>
            </w:r>
          </w:p>
        </w:tc>
        <w:tc>
          <w:tcPr>
            <w:tcW w:w="3544" w:type="dxa"/>
          </w:tcPr>
          <w:p w14:paraId="18DB8609" w14:textId="77777777" w:rsidR="007157A6" w:rsidRPr="007157A6" w:rsidRDefault="007157A6" w:rsidP="007157A6">
            <w:pPr>
              <w:rPr>
                <w:lang w:val="en-GB"/>
              </w:rPr>
            </w:pPr>
            <w:r w:rsidRPr="007157A6">
              <w:rPr>
                <w:lang w:val="en-GB"/>
              </w:rPr>
              <w:t>Will foster Sustainable Finance in Germany</w:t>
            </w:r>
          </w:p>
        </w:tc>
        <w:tc>
          <w:tcPr>
            <w:tcW w:w="418" w:type="dxa"/>
          </w:tcPr>
          <w:p w14:paraId="38B1C05E" w14:textId="77777777" w:rsidR="007157A6" w:rsidRPr="007157A6" w:rsidRDefault="007157A6" w:rsidP="007157A6">
            <w:pPr>
              <w:rPr>
                <w:lang w:val="en-GB"/>
              </w:rPr>
            </w:pPr>
          </w:p>
        </w:tc>
        <w:tc>
          <w:tcPr>
            <w:tcW w:w="418" w:type="dxa"/>
          </w:tcPr>
          <w:p w14:paraId="162D995D" w14:textId="77777777" w:rsidR="007157A6" w:rsidRPr="007157A6" w:rsidRDefault="007157A6" w:rsidP="007157A6">
            <w:pPr>
              <w:rPr>
                <w:lang w:val="en-GB"/>
              </w:rPr>
            </w:pPr>
          </w:p>
        </w:tc>
        <w:tc>
          <w:tcPr>
            <w:tcW w:w="418" w:type="dxa"/>
          </w:tcPr>
          <w:p w14:paraId="6E6135A3" w14:textId="77777777" w:rsidR="007157A6" w:rsidRPr="007157A6" w:rsidRDefault="007157A6" w:rsidP="007157A6">
            <w:pPr>
              <w:rPr>
                <w:lang w:val="en-GB"/>
              </w:rPr>
            </w:pPr>
          </w:p>
        </w:tc>
        <w:tc>
          <w:tcPr>
            <w:tcW w:w="418" w:type="dxa"/>
          </w:tcPr>
          <w:p w14:paraId="2253988A" w14:textId="77777777" w:rsidR="007157A6" w:rsidRPr="007157A6" w:rsidRDefault="007157A6" w:rsidP="007157A6">
            <w:pPr>
              <w:rPr>
                <w:lang w:val="en-GB"/>
              </w:rPr>
            </w:pPr>
          </w:p>
        </w:tc>
        <w:tc>
          <w:tcPr>
            <w:tcW w:w="419" w:type="dxa"/>
          </w:tcPr>
          <w:p w14:paraId="7C0FB661" w14:textId="77777777" w:rsidR="007157A6" w:rsidRPr="007157A6" w:rsidRDefault="007157A6" w:rsidP="007157A6">
            <w:pPr>
              <w:rPr>
                <w:lang w:val="en-GB"/>
              </w:rPr>
            </w:pPr>
          </w:p>
        </w:tc>
      </w:tr>
      <w:tr w:rsidR="007157A6" w:rsidRPr="007157A6" w14:paraId="421C2266" w14:textId="77777777" w:rsidTr="00C850ED">
        <w:tc>
          <w:tcPr>
            <w:tcW w:w="8642" w:type="dxa"/>
            <w:vMerge/>
          </w:tcPr>
          <w:p w14:paraId="537F2A86" w14:textId="77777777" w:rsidR="007157A6" w:rsidRPr="007157A6" w:rsidRDefault="007157A6" w:rsidP="007157A6">
            <w:pPr>
              <w:rPr>
                <w:lang w:val="en-GB"/>
              </w:rPr>
            </w:pPr>
          </w:p>
        </w:tc>
        <w:tc>
          <w:tcPr>
            <w:tcW w:w="3544" w:type="dxa"/>
          </w:tcPr>
          <w:p w14:paraId="508F2941" w14:textId="77777777" w:rsidR="007157A6" w:rsidRPr="007157A6" w:rsidRDefault="007157A6" w:rsidP="007157A6">
            <w:pPr>
              <w:rPr>
                <w:lang w:val="en-GB"/>
              </w:rPr>
            </w:pPr>
            <w:r w:rsidRPr="007157A6">
              <w:rPr>
                <w:lang w:val="en-GB"/>
              </w:rPr>
              <w:t>Level of ambition</w:t>
            </w:r>
          </w:p>
        </w:tc>
        <w:tc>
          <w:tcPr>
            <w:tcW w:w="418" w:type="dxa"/>
          </w:tcPr>
          <w:p w14:paraId="1F2E738A" w14:textId="77777777" w:rsidR="007157A6" w:rsidRPr="007157A6" w:rsidRDefault="007157A6" w:rsidP="007157A6">
            <w:pPr>
              <w:rPr>
                <w:lang w:val="en-GB"/>
              </w:rPr>
            </w:pPr>
          </w:p>
        </w:tc>
        <w:tc>
          <w:tcPr>
            <w:tcW w:w="418" w:type="dxa"/>
          </w:tcPr>
          <w:p w14:paraId="54132F34" w14:textId="77777777" w:rsidR="007157A6" w:rsidRPr="007157A6" w:rsidRDefault="007157A6" w:rsidP="007157A6">
            <w:pPr>
              <w:rPr>
                <w:lang w:val="en-GB"/>
              </w:rPr>
            </w:pPr>
          </w:p>
        </w:tc>
        <w:tc>
          <w:tcPr>
            <w:tcW w:w="418" w:type="dxa"/>
          </w:tcPr>
          <w:p w14:paraId="7F06AEF6" w14:textId="77777777" w:rsidR="007157A6" w:rsidRPr="007157A6" w:rsidRDefault="007157A6" w:rsidP="007157A6">
            <w:pPr>
              <w:rPr>
                <w:lang w:val="en-GB"/>
              </w:rPr>
            </w:pPr>
          </w:p>
        </w:tc>
        <w:tc>
          <w:tcPr>
            <w:tcW w:w="418" w:type="dxa"/>
          </w:tcPr>
          <w:p w14:paraId="3E7301BD" w14:textId="77777777" w:rsidR="007157A6" w:rsidRPr="007157A6" w:rsidRDefault="007157A6" w:rsidP="007157A6">
            <w:pPr>
              <w:rPr>
                <w:lang w:val="en-GB"/>
              </w:rPr>
            </w:pPr>
          </w:p>
        </w:tc>
        <w:tc>
          <w:tcPr>
            <w:tcW w:w="419" w:type="dxa"/>
          </w:tcPr>
          <w:p w14:paraId="5D167890" w14:textId="77777777" w:rsidR="007157A6" w:rsidRPr="007157A6" w:rsidRDefault="007157A6" w:rsidP="007157A6">
            <w:pPr>
              <w:rPr>
                <w:lang w:val="en-GB"/>
              </w:rPr>
            </w:pPr>
          </w:p>
        </w:tc>
      </w:tr>
      <w:tr w:rsidR="007157A6" w:rsidRPr="007157A6" w14:paraId="6438F4CE" w14:textId="77777777" w:rsidTr="00C850ED">
        <w:tc>
          <w:tcPr>
            <w:tcW w:w="8642" w:type="dxa"/>
            <w:vMerge/>
          </w:tcPr>
          <w:p w14:paraId="4C608715" w14:textId="77777777" w:rsidR="007157A6" w:rsidRPr="007157A6" w:rsidRDefault="007157A6" w:rsidP="007157A6">
            <w:pPr>
              <w:rPr>
                <w:lang w:val="en-GB"/>
              </w:rPr>
            </w:pPr>
          </w:p>
        </w:tc>
        <w:tc>
          <w:tcPr>
            <w:tcW w:w="3544" w:type="dxa"/>
          </w:tcPr>
          <w:p w14:paraId="2E2B1D47" w14:textId="77777777" w:rsidR="007157A6" w:rsidRPr="007157A6" w:rsidRDefault="007157A6" w:rsidP="007157A6">
            <w:pPr>
              <w:rPr>
                <w:lang w:val="en-GB"/>
              </w:rPr>
            </w:pPr>
            <w:r w:rsidRPr="007157A6">
              <w:rPr>
                <w:lang w:val="en-GB"/>
              </w:rPr>
              <w:t>Practicability</w:t>
            </w:r>
          </w:p>
        </w:tc>
        <w:tc>
          <w:tcPr>
            <w:tcW w:w="418" w:type="dxa"/>
          </w:tcPr>
          <w:p w14:paraId="470EEECE" w14:textId="77777777" w:rsidR="007157A6" w:rsidRPr="007157A6" w:rsidRDefault="007157A6" w:rsidP="007157A6">
            <w:pPr>
              <w:rPr>
                <w:lang w:val="en-GB"/>
              </w:rPr>
            </w:pPr>
          </w:p>
        </w:tc>
        <w:tc>
          <w:tcPr>
            <w:tcW w:w="418" w:type="dxa"/>
          </w:tcPr>
          <w:p w14:paraId="22EC2FA7" w14:textId="77777777" w:rsidR="007157A6" w:rsidRPr="007157A6" w:rsidRDefault="007157A6" w:rsidP="007157A6">
            <w:pPr>
              <w:rPr>
                <w:lang w:val="en-GB"/>
              </w:rPr>
            </w:pPr>
          </w:p>
        </w:tc>
        <w:tc>
          <w:tcPr>
            <w:tcW w:w="418" w:type="dxa"/>
          </w:tcPr>
          <w:p w14:paraId="59ECD2D6" w14:textId="77777777" w:rsidR="007157A6" w:rsidRPr="007157A6" w:rsidRDefault="007157A6" w:rsidP="007157A6">
            <w:pPr>
              <w:rPr>
                <w:lang w:val="en-GB"/>
              </w:rPr>
            </w:pPr>
          </w:p>
        </w:tc>
        <w:tc>
          <w:tcPr>
            <w:tcW w:w="418" w:type="dxa"/>
          </w:tcPr>
          <w:p w14:paraId="6D614C48" w14:textId="77777777" w:rsidR="007157A6" w:rsidRPr="007157A6" w:rsidRDefault="007157A6" w:rsidP="007157A6">
            <w:pPr>
              <w:rPr>
                <w:lang w:val="en-GB"/>
              </w:rPr>
            </w:pPr>
          </w:p>
        </w:tc>
        <w:tc>
          <w:tcPr>
            <w:tcW w:w="419" w:type="dxa"/>
          </w:tcPr>
          <w:p w14:paraId="48B85F9D" w14:textId="77777777" w:rsidR="007157A6" w:rsidRPr="007157A6" w:rsidRDefault="007157A6" w:rsidP="007157A6">
            <w:pPr>
              <w:rPr>
                <w:lang w:val="en-GB"/>
              </w:rPr>
            </w:pPr>
          </w:p>
        </w:tc>
      </w:tr>
      <w:tr w:rsidR="007157A6" w:rsidRPr="007157A6" w14:paraId="1FF8D5EC" w14:textId="77777777" w:rsidTr="00C850ED">
        <w:tc>
          <w:tcPr>
            <w:tcW w:w="8642" w:type="dxa"/>
            <w:vMerge/>
          </w:tcPr>
          <w:p w14:paraId="78147CD1" w14:textId="77777777" w:rsidR="007157A6" w:rsidRPr="007157A6" w:rsidRDefault="007157A6" w:rsidP="007157A6">
            <w:pPr>
              <w:rPr>
                <w:lang w:val="en-GB"/>
              </w:rPr>
            </w:pPr>
          </w:p>
        </w:tc>
        <w:tc>
          <w:tcPr>
            <w:tcW w:w="3544" w:type="dxa"/>
          </w:tcPr>
          <w:p w14:paraId="4505530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84F7CDF" w14:textId="77777777" w:rsidR="007157A6" w:rsidRPr="007157A6" w:rsidRDefault="007157A6" w:rsidP="007157A6">
            <w:pPr>
              <w:rPr>
                <w:lang w:val="en-GB"/>
              </w:rPr>
            </w:pPr>
          </w:p>
        </w:tc>
        <w:tc>
          <w:tcPr>
            <w:tcW w:w="418" w:type="dxa"/>
          </w:tcPr>
          <w:p w14:paraId="1C7679D7" w14:textId="77777777" w:rsidR="007157A6" w:rsidRPr="007157A6" w:rsidRDefault="007157A6" w:rsidP="007157A6">
            <w:pPr>
              <w:rPr>
                <w:lang w:val="en-GB"/>
              </w:rPr>
            </w:pPr>
          </w:p>
        </w:tc>
        <w:tc>
          <w:tcPr>
            <w:tcW w:w="418" w:type="dxa"/>
          </w:tcPr>
          <w:p w14:paraId="082CE648" w14:textId="77777777" w:rsidR="007157A6" w:rsidRPr="007157A6" w:rsidRDefault="007157A6" w:rsidP="007157A6">
            <w:pPr>
              <w:rPr>
                <w:lang w:val="en-GB"/>
              </w:rPr>
            </w:pPr>
          </w:p>
        </w:tc>
        <w:tc>
          <w:tcPr>
            <w:tcW w:w="418" w:type="dxa"/>
          </w:tcPr>
          <w:p w14:paraId="3D8AFBF9" w14:textId="77777777" w:rsidR="007157A6" w:rsidRPr="007157A6" w:rsidRDefault="007157A6" w:rsidP="007157A6">
            <w:pPr>
              <w:rPr>
                <w:lang w:val="en-GB"/>
              </w:rPr>
            </w:pPr>
          </w:p>
        </w:tc>
        <w:tc>
          <w:tcPr>
            <w:tcW w:w="419" w:type="dxa"/>
          </w:tcPr>
          <w:p w14:paraId="17F1528E" w14:textId="77777777" w:rsidR="007157A6" w:rsidRPr="007157A6" w:rsidRDefault="007157A6" w:rsidP="007157A6">
            <w:pPr>
              <w:rPr>
                <w:lang w:val="en-GB"/>
              </w:rPr>
            </w:pPr>
          </w:p>
        </w:tc>
      </w:tr>
      <w:tr w:rsidR="007157A6" w:rsidRPr="007157A6" w14:paraId="4BFA2BFF" w14:textId="77777777" w:rsidTr="00C850ED">
        <w:tc>
          <w:tcPr>
            <w:tcW w:w="8642" w:type="dxa"/>
            <w:shd w:val="clear" w:color="auto" w:fill="D9D9D9" w:themeFill="background1" w:themeFillShade="D9"/>
          </w:tcPr>
          <w:p w14:paraId="28338B63"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C7727D6"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2401289"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F13EAC9"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4A22F2C4"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9C8299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4EEF436A" w14:textId="77777777" w:rsidR="007157A6" w:rsidRPr="007157A6" w:rsidRDefault="007157A6" w:rsidP="007157A6">
            <w:pPr>
              <w:rPr>
                <w:lang w:val="en-GB"/>
              </w:rPr>
            </w:pPr>
            <w:r w:rsidRPr="007157A6">
              <w:rPr>
                <w:b/>
                <w:lang w:val="en-GB"/>
              </w:rPr>
              <w:t>1</w:t>
            </w:r>
          </w:p>
        </w:tc>
      </w:tr>
      <w:tr w:rsidR="007157A6" w:rsidRPr="007157A6" w14:paraId="01B89767" w14:textId="77777777" w:rsidTr="00C850ED">
        <w:trPr>
          <w:trHeight w:val="731"/>
        </w:trPr>
        <w:tc>
          <w:tcPr>
            <w:tcW w:w="8642" w:type="dxa"/>
            <w:vMerge w:val="restart"/>
          </w:tcPr>
          <w:p w14:paraId="5776C474" w14:textId="77777777" w:rsidR="007157A6" w:rsidRPr="007157A6" w:rsidRDefault="007157A6" w:rsidP="007157A6">
            <w:pPr>
              <w:rPr>
                <w:lang w:val="en-GB"/>
              </w:rPr>
            </w:pPr>
            <w:r w:rsidRPr="007157A6">
              <w:rPr>
                <w:lang w:val="en-GB"/>
              </w:rPr>
              <w:t>A clearer and more meaningful explanation of (and expectation as to) the substantive requirements of non-financial reporting (specific information on the disclosures enumerated in the CSR RUG, section 289c (3) of the HGB) should be developed. In particular this concerns the requisite disclosures (including concepts, due diligence, results and risks) respecting topics treated in less detail in reporting so far (among them supply chains, human rights, climate protection, compliance) which are to be published as part of a “non-financial explanation” (</w:t>
            </w:r>
            <w:proofErr w:type="spellStart"/>
            <w:r w:rsidRPr="007157A6">
              <w:rPr>
                <w:lang w:val="en-GB"/>
              </w:rPr>
              <w:t>NfE</w:t>
            </w:r>
            <w:proofErr w:type="spellEnd"/>
            <w:r w:rsidRPr="007157A6">
              <w:rPr>
                <w:lang w:val="en-GB"/>
              </w:rPr>
              <w:t>). The corresponding specification of the content of reports serves to improve the utility of the information made available and enhance the user-friendliness of the law for the affected companies.</w:t>
            </w:r>
          </w:p>
        </w:tc>
        <w:tc>
          <w:tcPr>
            <w:tcW w:w="3544" w:type="dxa"/>
          </w:tcPr>
          <w:p w14:paraId="025B88C9" w14:textId="77777777" w:rsidR="007157A6" w:rsidRPr="007157A6" w:rsidRDefault="007157A6" w:rsidP="007157A6">
            <w:pPr>
              <w:rPr>
                <w:lang w:val="en-GB"/>
              </w:rPr>
            </w:pPr>
            <w:r w:rsidRPr="007157A6">
              <w:rPr>
                <w:lang w:val="en-GB"/>
              </w:rPr>
              <w:t>Will foster Sustainable Finance in Germany</w:t>
            </w:r>
          </w:p>
        </w:tc>
        <w:tc>
          <w:tcPr>
            <w:tcW w:w="418" w:type="dxa"/>
          </w:tcPr>
          <w:p w14:paraId="0C9B370D" w14:textId="77777777" w:rsidR="007157A6" w:rsidRPr="007157A6" w:rsidRDefault="007157A6" w:rsidP="007157A6">
            <w:pPr>
              <w:rPr>
                <w:lang w:val="en-GB"/>
              </w:rPr>
            </w:pPr>
          </w:p>
        </w:tc>
        <w:tc>
          <w:tcPr>
            <w:tcW w:w="418" w:type="dxa"/>
          </w:tcPr>
          <w:p w14:paraId="399BB1C3" w14:textId="77777777" w:rsidR="007157A6" w:rsidRPr="007157A6" w:rsidRDefault="007157A6" w:rsidP="007157A6">
            <w:pPr>
              <w:rPr>
                <w:lang w:val="en-GB"/>
              </w:rPr>
            </w:pPr>
          </w:p>
        </w:tc>
        <w:tc>
          <w:tcPr>
            <w:tcW w:w="418" w:type="dxa"/>
          </w:tcPr>
          <w:p w14:paraId="24FF4D9D" w14:textId="77777777" w:rsidR="007157A6" w:rsidRPr="007157A6" w:rsidRDefault="007157A6" w:rsidP="007157A6">
            <w:pPr>
              <w:rPr>
                <w:lang w:val="en-GB"/>
              </w:rPr>
            </w:pPr>
          </w:p>
        </w:tc>
        <w:tc>
          <w:tcPr>
            <w:tcW w:w="418" w:type="dxa"/>
          </w:tcPr>
          <w:p w14:paraId="71514B09" w14:textId="77777777" w:rsidR="007157A6" w:rsidRPr="007157A6" w:rsidRDefault="007157A6" w:rsidP="007157A6">
            <w:pPr>
              <w:rPr>
                <w:lang w:val="en-GB"/>
              </w:rPr>
            </w:pPr>
          </w:p>
        </w:tc>
        <w:tc>
          <w:tcPr>
            <w:tcW w:w="419" w:type="dxa"/>
          </w:tcPr>
          <w:p w14:paraId="56B891A7" w14:textId="77777777" w:rsidR="007157A6" w:rsidRPr="007157A6" w:rsidRDefault="007157A6" w:rsidP="007157A6">
            <w:pPr>
              <w:rPr>
                <w:lang w:val="en-GB"/>
              </w:rPr>
            </w:pPr>
          </w:p>
        </w:tc>
      </w:tr>
      <w:tr w:rsidR="007157A6" w:rsidRPr="007157A6" w14:paraId="13D4CD2E" w14:textId="77777777" w:rsidTr="00C850ED">
        <w:trPr>
          <w:trHeight w:val="731"/>
        </w:trPr>
        <w:tc>
          <w:tcPr>
            <w:tcW w:w="8642" w:type="dxa"/>
            <w:vMerge/>
          </w:tcPr>
          <w:p w14:paraId="2194F4D4" w14:textId="77777777" w:rsidR="007157A6" w:rsidRPr="007157A6" w:rsidRDefault="007157A6" w:rsidP="007157A6">
            <w:pPr>
              <w:rPr>
                <w:lang w:val="en-GB"/>
              </w:rPr>
            </w:pPr>
          </w:p>
        </w:tc>
        <w:tc>
          <w:tcPr>
            <w:tcW w:w="3544" w:type="dxa"/>
          </w:tcPr>
          <w:p w14:paraId="6A813B83" w14:textId="77777777" w:rsidR="007157A6" w:rsidRPr="007157A6" w:rsidRDefault="007157A6" w:rsidP="007157A6">
            <w:pPr>
              <w:rPr>
                <w:lang w:val="en-GB"/>
              </w:rPr>
            </w:pPr>
            <w:r w:rsidRPr="007157A6">
              <w:rPr>
                <w:lang w:val="en-GB"/>
              </w:rPr>
              <w:t>Level of ambition</w:t>
            </w:r>
          </w:p>
        </w:tc>
        <w:tc>
          <w:tcPr>
            <w:tcW w:w="418" w:type="dxa"/>
          </w:tcPr>
          <w:p w14:paraId="7AD500E7" w14:textId="77777777" w:rsidR="007157A6" w:rsidRPr="007157A6" w:rsidRDefault="007157A6" w:rsidP="007157A6">
            <w:pPr>
              <w:rPr>
                <w:lang w:val="en-GB"/>
              </w:rPr>
            </w:pPr>
          </w:p>
        </w:tc>
        <w:tc>
          <w:tcPr>
            <w:tcW w:w="418" w:type="dxa"/>
          </w:tcPr>
          <w:p w14:paraId="5890A8D5" w14:textId="77777777" w:rsidR="007157A6" w:rsidRPr="007157A6" w:rsidRDefault="007157A6" w:rsidP="007157A6">
            <w:pPr>
              <w:rPr>
                <w:lang w:val="en-GB"/>
              </w:rPr>
            </w:pPr>
          </w:p>
        </w:tc>
        <w:tc>
          <w:tcPr>
            <w:tcW w:w="418" w:type="dxa"/>
          </w:tcPr>
          <w:p w14:paraId="40A9EA97" w14:textId="77777777" w:rsidR="007157A6" w:rsidRPr="007157A6" w:rsidRDefault="007157A6" w:rsidP="007157A6">
            <w:pPr>
              <w:rPr>
                <w:lang w:val="en-GB"/>
              </w:rPr>
            </w:pPr>
          </w:p>
        </w:tc>
        <w:tc>
          <w:tcPr>
            <w:tcW w:w="418" w:type="dxa"/>
          </w:tcPr>
          <w:p w14:paraId="51997C52" w14:textId="77777777" w:rsidR="007157A6" w:rsidRPr="007157A6" w:rsidRDefault="007157A6" w:rsidP="007157A6">
            <w:pPr>
              <w:rPr>
                <w:lang w:val="en-GB"/>
              </w:rPr>
            </w:pPr>
          </w:p>
        </w:tc>
        <w:tc>
          <w:tcPr>
            <w:tcW w:w="419" w:type="dxa"/>
          </w:tcPr>
          <w:p w14:paraId="08432AFC" w14:textId="77777777" w:rsidR="007157A6" w:rsidRPr="007157A6" w:rsidRDefault="007157A6" w:rsidP="007157A6">
            <w:pPr>
              <w:rPr>
                <w:lang w:val="en-GB"/>
              </w:rPr>
            </w:pPr>
          </w:p>
        </w:tc>
      </w:tr>
      <w:tr w:rsidR="007157A6" w:rsidRPr="007157A6" w14:paraId="10448030" w14:textId="77777777" w:rsidTr="00C850ED">
        <w:trPr>
          <w:trHeight w:val="731"/>
        </w:trPr>
        <w:tc>
          <w:tcPr>
            <w:tcW w:w="8642" w:type="dxa"/>
            <w:vMerge/>
          </w:tcPr>
          <w:p w14:paraId="65D02A10" w14:textId="77777777" w:rsidR="007157A6" w:rsidRPr="007157A6" w:rsidRDefault="007157A6" w:rsidP="007157A6">
            <w:pPr>
              <w:rPr>
                <w:lang w:val="en-GB"/>
              </w:rPr>
            </w:pPr>
          </w:p>
        </w:tc>
        <w:tc>
          <w:tcPr>
            <w:tcW w:w="3544" w:type="dxa"/>
          </w:tcPr>
          <w:p w14:paraId="7DEA852B" w14:textId="77777777" w:rsidR="007157A6" w:rsidRPr="007157A6" w:rsidRDefault="007157A6" w:rsidP="007157A6">
            <w:pPr>
              <w:rPr>
                <w:lang w:val="en-GB"/>
              </w:rPr>
            </w:pPr>
            <w:r w:rsidRPr="007157A6">
              <w:rPr>
                <w:lang w:val="en-GB"/>
              </w:rPr>
              <w:t>Practicability</w:t>
            </w:r>
          </w:p>
        </w:tc>
        <w:tc>
          <w:tcPr>
            <w:tcW w:w="418" w:type="dxa"/>
          </w:tcPr>
          <w:p w14:paraId="2903CF43" w14:textId="77777777" w:rsidR="007157A6" w:rsidRPr="007157A6" w:rsidRDefault="007157A6" w:rsidP="007157A6">
            <w:pPr>
              <w:rPr>
                <w:lang w:val="en-GB"/>
              </w:rPr>
            </w:pPr>
          </w:p>
        </w:tc>
        <w:tc>
          <w:tcPr>
            <w:tcW w:w="418" w:type="dxa"/>
          </w:tcPr>
          <w:p w14:paraId="123314EF" w14:textId="77777777" w:rsidR="007157A6" w:rsidRPr="007157A6" w:rsidRDefault="007157A6" w:rsidP="007157A6">
            <w:pPr>
              <w:rPr>
                <w:lang w:val="en-GB"/>
              </w:rPr>
            </w:pPr>
          </w:p>
        </w:tc>
        <w:tc>
          <w:tcPr>
            <w:tcW w:w="418" w:type="dxa"/>
          </w:tcPr>
          <w:p w14:paraId="4CB6D543" w14:textId="77777777" w:rsidR="007157A6" w:rsidRPr="007157A6" w:rsidRDefault="007157A6" w:rsidP="007157A6">
            <w:pPr>
              <w:rPr>
                <w:lang w:val="en-GB"/>
              </w:rPr>
            </w:pPr>
          </w:p>
        </w:tc>
        <w:tc>
          <w:tcPr>
            <w:tcW w:w="418" w:type="dxa"/>
          </w:tcPr>
          <w:p w14:paraId="1D204D46" w14:textId="77777777" w:rsidR="007157A6" w:rsidRPr="007157A6" w:rsidRDefault="007157A6" w:rsidP="007157A6">
            <w:pPr>
              <w:rPr>
                <w:lang w:val="en-GB"/>
              </w:rPr>
            </w:pPr>
          </w:p>
        </w:tc>
        <w:tc>
          <w:tcPr>
            <w:tcW w:w="419" w:type="dxa"/>
          </w:tcPr>
          <w:p w14:paraId="7B41396A" w14:textId="77777777" w:rsidR="007157A6" w:rsidRPr="007157A6" w:rsidRDefault="007157A6" w:rsidP="007157A6">
            <w:pPr>
              <w:rPr>
                <w:lang w:val="en-GB"/>
              </w:rPr>
            </w:pPr>
          </w:p>
        </w:tc>
      </w:tr>
      <w:tr w:rsidR="007157A6" w:rsidRPr="007157A6" w14:paraId="3A938E4A" w14:textId="77777777" w:rsidTr="00C850ED">
        <w:trPr>
          <w:trHeight w:val="731"/>
        </w:trPr>
        <w:tc>
          <w:tcPr>
            <w:tcW w:w="8642" w:type="dxa"/>
            <w:vMerge/>
          </w:tcPr>
          <w:p w14:paraId="2EF65B79" w14:textId="77777777" w:rsidR="007157A6" w:rsidRPr="007157A6" w:rsidRDefault="007157A6" w:rsidP="007157A6">
            <w:pPr>
              <w:rPr>
                <w:lang w:val="en-GB"/>
              </w:rPr>
            </w:pPr>
          </w:p>
        </w:tc>
        <w:tc>
          <w:tcPr>
            <w:tcW w:w="3544" w:type="dxa"/>
          </w:tcPr>
          <w:p w14:paraId="3C2006F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33B86C61" w14:textId="77777777" w:rsidR="007157A6" w:rsidRPr="007157A6" w:rsidRDefault="007157A6" w:rsidP="007157A6">
            <w:pPr>
              <w:rPr>
                <w:lang w:val="en-GB"/>
              </w:rPr>
            </w:pPr>
          </w:p>
        </w:tc>
        <w:tc>
          <w:tcPr>
            <w:tcW w:w="418" w:type="dxa"/>
          </w:tcPr>
          <w:p w14:paraId="45228A9F" w14:textId="77777777" w:rsidR="007157A6" w:rsidRPr="007157A6" w:rsidRDefault="007157A6" w:rsidP="007157A6">
            <w:pPr>
              <w:rPr>
                <w:lang w:val="en-GB"/>
              </w:rPr>
            </w:pPr>
          </w:p>
        </w:tc>
        <w:tc>
          <w:tcPr>
            <w:tcW w:w="418" w:type="dxa"/>
          </w:tcPr>
          <w:p w14:paraId="592CD73E" w14:textId="77777777" w:rsidR="007157A6" w:rsidRPr="007157A6" w:rsidRDefault="007157A6" w:rsidP="007157A6">
            <w:pPr>
              <w:rPr>
                <w:lang w:val="en-GB"/>
              </w:rPr>
            </w:pPr>
          </w:p>
        </w:tc>
        <w:tc>
          <w:tcPr>
            <w:tcW w:w="418" w:type="dxa"/>
          </w:tcPr>
          <w:p w14:paraId="284A4B6D" w14:textId="77777777" w:rsidR="007157A6" w:rsidRPr="007157A6" w:rsidRDefault="007157A6" w:rsidP="007157A6">
            <w:pPr>
              <w:rPr>
                <w:lang w:val="en-GB"/>
              </w:rPr>
            </w:pPr>
          </w:p>
        </w:tc>
        <w:tc>
          <w:tcPr>
            <w:tcW w:w="419" w:type="dxa"/>
          </w:tcPr>
          <w:p w14:paraId="453C6FA3" w14:textId="77777777" w:rsidR="007157A6" w:rsidRPr="007157A6" w:rsidRDefault="007157A6" w:rsidP="007157A6">
            <w:pPr>
              <w:rPr>
                <w:lang w:val="en-GB"/>
              </w:rPr>
            </w:pPr>
          </w:p>
        </w:tc>
      </w:tr>
      <w:tr w:rsidR="007157A6" w:rsidRPr="007157A6" w14:paraId="1EBF88F9" w14:textId="77777777" w:rsidTr="00C850ED">
        <w:tc>
          <w:tcPr>
            <w:tcW w:w="8642" w:type="dxa"/>
            <w:shd w:val="clear" w:color="auto" w:fill="D9D9D9" w:themeFill="background1" w:themeFillShade="D9"/>
          </w:tcPr>
          <w:p w14:paraId="49C69110"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61B7E708"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6726FE0A"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5DECA132"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59F0D3A7"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06F49B5E"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70F915A0" w14:textId="77777777" w:rsidR="007157A6" w:rsidRPr="007157A6" w:rsidRDefault="007157A6" w:rsidP="007157A6">
            <w:pPr>
              <w:rPr>
                <w:b/>
                <w:lang w:val="en-GB"/>
              </w:rPr>
            </w:pPr>
            <w:r w:rsidRPr="007157A6">
              <w:rPr>
                <w:b/>
                <w:lang w:val="en-GB"/>
              </w:rPr>
              <w:t>1</w:t>
            </w:r>
          </w:p>
        </w:tc>
      </w:tr>
      <w:tr w:rsidR="007157A6" w:rsidRPr="007157A6" w14:paraId="67A698FF" w14:textId="77777777" w:rsidTr="00C850ED">
        <w:trPr>
          <w:trHeight w:val="664"/>
        </w:trPr>
        <w:tc>
          <w:tcPr>
            <w:tcW w:w="8642" w:type="dxa"/>
            <w:vMerge w:val="restart"/>
          </w:tcPr>
          <w:p w14:paraId="34F67706" w14:textId="77777777" w:rsidR="007157A6" w:rsidRPr="007157A6" w:rsidRDefault="007157A6" w:rsidP="007157A6">
            <w:pPr>
              <w:rPr>
                <w:lang w:val="en-GB"/>
              </w:rPr>
            </w:pPr>
            <w:r w:rsidRPr="007157A6">
              <w:rPr>
                <w:lang w:val="en-GB"/>
              </w:rPr>
              <w:t xml:space="preserve">Details on the determination of materiality (section 289c (4) of the HGB) are to be fleshed out with respect to the double materiality requirements (relevance to a given company’s financial </w:t>
            </w:r>
            <w:r w:rsidRPr="007157A6">
              <w:rPr>
                <w:lang w:val="en-GB"/>
              </w:rPr>
              <w:lastRenderedPageBreak/>
              <w:t>condition and the effects of its business activities on the environment, employment and society as well as respect for human rights and the fight against corruption and bribery). This is to be done in view of increasing transparency by way of an assessment of all five of the topics addressed in the NFRD for companies while simultaneously strengthening and easing the implementation of the “comply or explain” requirement which companies must satisfy. This would also result in greater clarity as to the requirements governing audit criteria and audit depth.</w:t>
            </w:r>
          </w:p>
        </w:tc>
        <w:tc>
          <w:tcPr>
            <w:tcW w:w="3544" w:type="dxa"/>
          </w:tcPr>
          <w:p w14:paraId="6E40EE5A"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4C04F658" w14:textId="77777777" w:rsidR="007157A6" w:rsidRPr="007157A6" w:rsidRDefault="007157A6" w:rsidP="007157A6">
            <w:pPr>
              <w:rPr>
                <w:lang w:val="en-GB"/>
              </w:rPr>
            </w:pPr>
          </w:p>
        </w:tc>
        <w:tc>
          <w:tcPr>
            <w:tcW w:w="418" w:type="dxa"/>
          </w:tcPr>
          <w:p w14:paraId="756B6D59" w14:textId="77777777" w:rsidR="007157A6" w:rsidRPr="007157A6" w:rsidRDefault="007157A6" w:rsidP="007157A6">
            <w:pPr>
              <w:rPr>
                <w:lang w:val="en-GB"/>
              </w:rPr>
            </w:pPr>
          </w:p>
        </w:tc>
        <w:tc>
          <w:tcPr>
            <w:tcW w:w="418" w:type="dxa"/>
          </w:tcPr>
          <w:p w14:paraId="354EF84D" w14:textId="77777777" w:rsidR="007157A6" w:rsidRPr="007157A6" w:rsidRDefault="007157A6" w:rsidP="007157A6">
            <w:pPr>
              <w:rPr>
                <w:lang w:val="en-GB"/>
              </w:rPr>
            </w:pPr>
          </w:p>
        </w:tc>
        <w:tc>
          <w:tcPr>
            <w:tcW w:w="418" w:type="dxa"/>
          </w:tcPr>
          <w:p w14:paraId="31987D50" w14:textId="77777777" w:rsidR="007157A6" w:rsidRPr="007157A6" w:rsidRDefault="007157A6" w:rsidP="007157A6">
            <w:pPr>
              <w:rPr>
                <w:lang w:val="en-GB"/>
              </w:rPr>
            </w:pPr>
          </w:p>
        </w:tc>
        <w:tc>
          <w:tcPr>
            <w:tcW w:w="419" w:type="dxa"/>
          </w:tcPr>
          <w:p w14:paraId="420C29A6" w14:textId="77777777" w:rsidR="007157A6" w:rsidRPr="007157A6" w:rsidRDefault="007157A6" w:rsidP="007157A6">
            <w:pPr>
              <w:rPr>
                <w:lang w:val="en-GB"/>
              </w:rPr>
            </w:pPr>
          </w:p>
        </w:tc>
      </w:tr>
      <w:tr w:rsidR="007157A6" w:rsidRPr="007157A6" w14:paraId="7D9DBA40" w14:textId="77777777" w:rsidTr="00C850ED">
        <w:trPr>
          <w:trHeight w:val="664"/>
        </w:trPr>
        <w:tc>
          <w:tcPr>
            <w:tcW w:w="8642" w:type="dxa"/>
            <w:vMerge/>
          </w:tcPr>
          <w:p w14:paraId="7D486AB7" w14:textId="77777777" w:rsidR="007157A6" w:rsidRPr="007157A6" w:rsidRDefault="007157A6" w:rsidP="007157A6">
            <w:pPr>
              <w:rPr>
                <w:lang w:val="en-GB"/>
              </w:rPr>
            </w:pPr>
          </w:p>
        </w:tc>
        <w:tc>
          <w:tcPr>
            <w:tcW w:w="3544" w:type="dxa"/>
          </w:tcPr>
          <w:p w14:paraId="5E32E6E4" w14:textId="77777777" w:rsidR="007157A6" w:rsidRPr="007157A6" w:rsidRDefault="007157A6" w:rsidP="007157A6">
            <w:pPr>
              <w:rPr>
                <w:lang w:val="en-GB"/>
              </w:rPr>
            </w:pPr>
            <w:r w:rsidRPr="007157A6">
              <w:rPr>
                <w:lang w:val="en-GB"/>
              </w:rPr>
              <w:t>Level of ambition</w:t>
            </w:r>
          </w:p>
        </w:tc>
        <w:tc>
          <w:tcPr>
            <w:tcW w:w="418" w:type="dxa"/>
          </w:tcPr>
          <w:p w14:paraId="61D08EC5" w14:textId="77777777" w:rsidR="007157A6" w:rsidRPr="007157A6" w:rsidRDefault="007157A6" w:rsidP="007157A6">
            <w:pPr>
              <w:rPr>
                <w:lang w:val="en-GB"/>
              </w:rPr>
            </w:pPr>
          </w:p>
        </w:tc>
        <w:tc>
          <w:tcPr>
            <w:tcW w:w="418" w:type="dxa"/>
          </w:tcPr>
          <w:p w14:paraId="19020285" w14:textId="77777777" w:rsidR="007157A6" w:rsidRPr="007157A6" w:rsidRDefault="007157A6" w:rsidP="007157A6">
            <w:pPr>
              <w:rPr>
                <w:lang w:val="en-GB"/>
              </w:rPr>
            </w:pPr>
          </w:p>
        </w:tc>
        <w:tc>
          <w:tcPr>
            <w:tcW w:w="418" w:type="dxa"/>
          </w:tcPr>
          <w:p w14:paraId="7D2771D1" w14:textId="77777777" w:rsidR="007157A6" w:rsidRPr="007157A6" w:rsidRDefault="007157A6" w:rsidP="007157A6">
            <w:pPr>
              <w:rPr>
                <w:lang w:val="en-GB"/>
              </w:rPr>
            </w:pPr>
          </w:p>
        </w:tc>
        <w:tc>
          <w:tcPr>
            <w:tcW w:w="418" w:type="dxa"/>
          </w:tcPr>
          <w:p w14:paraId="6D466665" w14:textId="77777777" w:rsidR="007157A6" w:rsidRPr="007157A6" w:rsidRDefault="007157A6" w:rsidP="007157A6">
            <w:pPr>
              <w:rPr>
                <w:lang w:val="en-GB"/>
              </w:rPr>
            </w:pPr>
          </w:p>
        </w:tc>
        <w:tc>
          <w:tcPr>
            <w:tcW w:w="419" w:type="dxa"/>
          </w:tcPr>
          <w:p w14:paraId="40D31A1E" w14:textId="77777777" w:rsidR="007157A6" w:rsidRPr="007157A6" w:rsidRDefault="007157A6" w:rsidP="007157A6">
            <w:pPr>
              <w:rPr>
                <w:lang w:val="en-GB"/>
              </w:rPr>
            </w:pPr>
          </w:p>
        </w:tc>
      </w:tr>
      <w:tr w:rsidR="007157A6" w:rsidRPr="007157A6" w14:paraId="765FC212" w14:textId="77777777" w:rsidTr="00C850ED">
        <w:trPr>
          <w:trHeight w:val="664"/>
        </w:trPr>
        <w:tc>
          <w:tcPr>
            <w:tcW w:w="8642" w:type="dxa"/>
            <w:vMerge/>
          </w:tcPr>
          <w:p w14:paraId="26FF22C9" w14:textId="77777777" w:rsidR="007157A6" w:rsidRPr="007157A6" w:rsidRDefault="007157A6" w:rsidP="007157A6">
            <w:pPr>
              <w:rPr>
                <w:lang w:val="en-GB"/>
              </w:rPr>
            </w:pPr>
          </w:p>
        </w:tc>
        <w:tc>
          <w:tcPr>
            <w:tcW w:w="3544" w:type="dxa"/>
          </w:tcPr>
          <w:p w14:paraId="24E64479" w14:textId="77777777" w:rsidR="007157A6" w:rsidRPr="007157A6" w:rsidRDefault="007157A6" w:rsidP="007157A6">
            <w:pPr>
              <w:rPr>
                <w:lang w:val="en-GB"/>
              </w:rPr>
            </w:pPr>
            <w:r w:rsidRPr="007157A6">
              <w:rPr>
                <w:lang w:val="en-GB"/>
              </w:rPr>
              <w:t>Practicability</w:t>
            </w:r>
          </w:p>
        </w:tc>
        <w:tc>
          <w:tcPr>
            <w:tcW w:w="418" w:type="dxa"/>
          </w:tcPr>
          <w:p w14:paraId="30DDAC6D" w14:textId="77777777" w:rsidR="007157A6" w:rsidRPr="007157A6" w:rsidRDefault="007157A6" w:rsidP="007157A6">
            <w:pPr>
              <w:rPr>
                <w:lang w:val="en-GB"/>
              </w:rPr>
            </w:pPr>
          </w:p>
        </w:tc>
        <w:tc>
          <w:tcPr>
            <w:tcW w:w="418" w:type="dxa"/>
          </w:tcPr>
          <w:p w14:paraId="432C9C9A" w14:textId="77777777" w:rsidR="007157A6" w:rsidRPr="007157A6" w:rsidRDefault="007157A6" w:rsidP="007157A6">
            <w:pPr>
              <w:rPr>
                <w:lang w:val="en-GB"/>
              </w:rPr>
            </w:pPr>
          </w:p>
        </w:tc>
        <w:tc>
          <w:tcPr>
            <w:tcW w:w="418" w:type="dxa"/>
          </w:tcPr>
          <w:p w14:paraId="218092F8" w14:textId="77777777" w:rsidR="007157A6" w:rsidRPr="007157A6" w:rsidRDefault="007157A6" w:rsidP="007157A6">
            <w:pPr>
              <w:rPr>
                <w:lang w:val="en-GB"/>
              </w:rPr>
            </w:pPr>
          </w:p>
        </w:tc>
        <w:tc>
          <w:tcPr>
            <w:tcW w:w="418" w:type="dxa"/>
          </w:tcPr>
          <w:p w14:paraId="5C92F175" w14:textId="77777777" w:rsidR="007157A6" w:rsidRPr="007157A6" w:rsidRDefault="007157A6" w:rsidP="007157A6">
            <w:pPr>
              <w:rPr>
                <w:lang w:val="en-GB"/>
              </w:rPr>
            </w:pPr>
          </w:p>
        </w:tc>
        <w:tc>
          <w:tcPr>
            <w:tcW w:w="419" w:type="dxa"/>
          </w:tcPr>
          <w:p w14:paraId="0C460CA5" w14:textId="77777777" w:rsidR="007157A6" w:rsidRPr="007157A6" w:rsidRDefault="007157A6" w:rsidP="007157A6">
            <w:pPr>
              <w:rPr>
                <w:lang w:val="en-GB"/>
              </w:rPr>
            </w:pPr>
          </w:p>
        </w:tc>
      </w:tr>
      <w:tr w:rsidR="007157A6" w:rsidRPr="007157A6" w14:paraId="59DDC087" w14:textId="77777777" w:rsidTr="00C850ED">
        <w:trPr>
          <w:trHeight w:val="664"/>
        </w:trPr>
        <w:tc>
          <w:tcPr>
            <w:tcW w:w="8642" w:type="dxa"/>
            <w:vMerge/>
          </w:tcPr>
          <w:p w14:paraId="52A52C37" w14:textId="77777777" w:rsidR="007157A6" w:rsidRPr="007157A6" w:rsidRDefault="007157A6" w:rsidP="007157A6">
            <w:pPr>
              <w:rPr>
                <w:lang w:val="en-GB"/>
              </w:rPr>
            </w:pPr>
          </w:p>
        </w:tc>
        <w:tc>
          <w:tcPr>
            <w:tcW w:w="3544" w:type="dxa"/>
          </w:tcPr>
          <w:p w14:paraId="259E279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3F620ED2" w14:textId="77777777" w:rsidR="007157A6" w:rsidRPr="007157A6" w:rsidRDefault="007157A6" w:rsidP="007157A6">
            <w:pPr>
              <w:rPr>
                <w:lang w:val="en-GB"/>
              </w:rPr>
            </w:pPr>
          </w:p>
        </w:tc>
        <w:tc>
          <w:tcPr>
            <w:tcW w:w="418" w:type="dxa"/>
          </w:tcPr>
          <w:p w14:paraId="2FDF59E5" w14:textId="77777777" w:rsidR="007157A6" w:rsidRPr="007157A6" w:rsidRDefault="007157A6" w:rsidP="007157A6">
            <w:pPr>
              <w:rPr>
                <w:lang w:val="en-GB"/>
              </w:rPr>
            </w:pPr>
          </w:p>
        </w:tc>
        <w:tc>
          <w:tcPr>
            <w:tcW w:w="418" w:type="dxa"/>
          </w:tcPr>
          <w:p w14:paraId="2688643C" w14:textId="77777777" w:rsidR="007157A6" w:rsidRPr="007157A6" w:rsidRDefault="007157A6" w:rsidP="007157A6">
            <w:pPr>
              <w:rPr>
                <w:lang w:val="en-GB"/>
              </w:rPr>
            </w:pPr>
          </w:p>
        </w:tc>
        <w:tc>
          <w:tcPr>
            <w:tcW w:w="418" w:type="dxa"/>
          </w:tcPr>
          <w:p w14:paraId="597A148F" w14:textId="77777777" w:rsidR="007157A6" w:rsidRPr="007157A6" w:rsidRDefault="007157A6" w:rsidP="007157A6">
            <w:pPr>
              <w:rPr>
                <w:lang w:val="en-GB"/>
              </w:rPr>
            </w:pPr>
          </w:p>
        </w:tc>
        <w:tc>
          <w:tcPr>
            <w:tcW w:w="419" w:type="dxa"/>
          </w:tcPr>
          <w:p w14:paraId="3B7385B8" w14:textId="77777777" w:rsidR="007157A6" w:rsidRPr="007157A6" w:rsidRDefault="007157A6" w:rsidP="007157A6">
            <w:pPr>
              <w:rPr>
                <w:lang w:val="en-GB"/>
              </w:rPr>
            </w:pPr>
          </w:p>
        </w:tc>
      </w:tr>
      <w:tr w:rsidR="007157A6" w:rsidRPr="007157A6" w14:paraId="4B2BEACE" w14:textId="77777777" w:rsidTr="00C850ED">
        <w:tc>
          <w:tcPr>
            <w:tcW w:w="8642" w:type="dxa"/>
            <w:shd w:val="clear" w:color="auto" w:fill="D9D9D9" w:themeFill="background1" w:themeFillShade="D9"/>
          </w:tcPr>
          <w:p w14:paraId="2B2FEF55"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68FD661F"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C438FB9"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6ED8B98"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0211027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1984434"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297D68D8" w14:textId="77777777" w:rsidR="007157A6" w:rsidRPr="007157A6" w:rsidRDefault="007157A6" w:rsidP="007157A6">
            <w:pPr>
              <w:rPr>
                <w:lang w:val="en-GB"/>
              </w:rPr>
            </w:pPr>
            <w:r w:rsidRPr="007157A6">
              <w:rPr>
                <w:b/>
                <w:lang w:val="en-GB"/>
              </w:rPr>
              <w:t>1</w:t>
            </w:r>
          </w:p>
        </w:tc>
      </w:tr>
      <w:tr w:rsidR="007157A6" w:rsidRPr="007157A6" w14:paraId="4C04AB84" w14:textId="77777777" w:rsidTr="00C850ED">
        <w:trPr>
          <w:trHeight w:val="798"/>
        </w:trPr>
        <w:tc>
          <w:tcPr>
            <w:tcW w:w="8642" w:type="dxa"/>
            <w:vMerge w:val="restart"/>
          </w:tcPr>
          <w:p w14:paraId="6EDBAD7C" w14:textId="77777777" w:rsidR="007157A6" w:rsidRPr="007157A6" w:rsidRDefault="007157A6" w:rsidP="007157A6">
            <w:pPr>
              <w:rPr>
                <w:lang w:val="en-GB"/>
              </w:rPr>
            </w:pPr>
            <w:r w:rsidRPr="007157A6">
              <w:rPr>
                <w:lang w:val="en-GB"/>
              </w:rPr>
              <w:t>A concretisation of the risk concept used against the backdrop of different stakeholder expectations (among them shareholders and civil society) is necessary relative to the material risks (see section 289c (3) sentence 3 of the HGB). Given different definitions of the concept of risk in function of the given application context, so far there has been a lack of clarity in corporate reporting which has led to the risk of misinterpretations on the part of report preparers and users alike. Based on both the requirements and their experience in financial reporting, so far reporting companies have taken the concept of risk to mean deviations from plans and/or targets (outside-in perspective). In contrast, growing numbers of report users are also interested in assessments of the external risks in the sense of negative effects on people and the environment and/or climate (inside-out perspective).</w:t>
            </w:r>
          </w:p>
        </w:tc>
        <w:tc>
          <w:tcPr>
            <w:tcW w:w="3544" w:type="dxa"/>
          </w:tcPr>
          <w:p w14:paraId="7C9B6747" w14:textId="77777777" w:rsidR="007157A6" w:rsidRPr="007157A6" w:rsidRDefault="007157A6" w:rsidP="007157A6">
            <w:pPr>
              <w:rPr>
                <w:lang w:val="en-GB"/>
              </w:rPr>
            </w:pPr>
            <w:r w:rsidRPr="007157A6">
              <w:rPr>
                <w:lang w:val="en-GB"/>
              </w:rPr>
              <w:t>Will foster Sustainable Finance in Germany</w:t>
            </w:r>
          </w:p>
        </w:tc>
        <w:tc>
          <w:tcPr>
            <w:tcW w:w="418" w:type="dxa"/>
          </w:tcPr>
          <w:p w14:paraId="70D60B19" w14:textId="77777777" w:rsidR="007157A6" w:rsidRPr="007157A6" w:rsidRDefault="007157A6" w:rsidP="007157A6">
            <w:pPr>
              <w:rPr>
                <w:lang w:val="en-GB"/>
              </w:rPr>
            </w:pPr>
          </w:p>
        </w:tc>
        <w:tc>
          <w:tcPr>
            <w:tcW w:w="418" w:type="dxa"/>
          </w:tcPr>
          <w:p w14:paraId="5E74A51B" w14:textId="77777777" w:rsidR="007157A6" w:rsidRPr="007157A6" w:rsidRDefault="007157A6" w:rsidP="007157A6">
            <w:pPr>
              <w:rPr>
                <w:lang w:val="en-GB"/>
              </w:rPr>
            </w:pPr>
          </w:p>
        </w:tc>
        <w:tc>
          <w:tcPr>
            <w:tcW w:w="418" w:type="dxa"/>
          </w:tcPr>
          <w:p w14:paraId="3BEEF3B8" w14:textId="77777777" w:rsidR="007157A6" w:rsidRPr="007157A6" w:rsidRDefault="007157A6" w:rsidP="007157A6">
            <w:pPr>
              <w:rPr>
                <w:lang w:val="en-GB"/>
              </w:rPr>
            </w:pPr>
          </w:p>
        </w:tc>
        <w:tc>
          <w:tcPr>
            <w:tcW w:w="418" w:type="dxa"/>
          </w:tcPr>
          <w:p w14:paraId="5908BDCC" w14:textId="77777777" w:rsidR="007157A6" w:rsidRPr="007157A6" w:rsidRDefault="007157A6" w:rsidP="007157A6">
            <w:pPr>
              <w:rPr>
                <w:lang w:val="en-GB"/>
              </w:rPr>
            </w:pPr>
          </w:p>
        </w:tc>
        <w:tc>
          <w:tcPr>
            <w:tcW w:w="419" w:type="dxa"/>
          </w:tcPr>
          <w:p w14:paraId="3F6620CA" w14:textId="77777777" w:rsidR="007157A6" w:rsidRPr="007157A6" w:rsidRDefault="007157A6" w:rsidP="007157A6">
            <w:pPr>
              <w:rPr>
                <w:lang w:val="en-GB"/>
              </w:rPr>
            </w:pPr>
          </w:p>
        </w:tc>
      </w:tr>
      <w:tr w:rsidR="007157A6" w:rsidRPr="007157A6" w14:paraId="18C00A72" w14:textId="77777777" w:rsidTr="00C850ED">
        <w:trPr>
          <w:trHeight w:val="798"/>
        </w:trPr>
        <w:tc>
          <w:tcPr>
            <w:tcW w:w="8642" w:type="dxa"/>
            <w:vMerge/>
          </w:tcPr>
          <w:p w14:paraId="6A34C164" w14:textId="77777777" w:rsidR="007157A6" w:rsidRPr="007157A6" w:rsidRDefault="007157A6" w:rsidP="007157A6">
            <w:pPr>
              <w:rPr>
                <w:lang w:val="en-GB"/>
              </w:rPr>
            </w:pPr>
          </w:p>
        </w:tc>
        <w:tc>
          <w:tcPr>
            <w:tcW w:w="3544" w:type="dxa"/>
          </w:tcPr>
          <w:p w14:paraId="04EBFC63" w14:textId="77777777" w:rsidR="007157A6" w:rsidRPr="007157A6" w:rsidRDefault="007157A6" w:rsidP="007157A6">
            <w:pPr>
              <w:rPr>
                <w:lang w:val="en-GB"/>
              </w:rPr>
            </w:pPr>
            <w:r w:rsidRPr="007157A6">
              <w:rPr>
                <w:lang w:val="en-GB"/>
              </w:rPr>
              <w:t>Level of ambition</w:t>
            </w:r>
          </w:p>
        </w:tc>
        <w:tc>
          <w:tcPr>
            <w:tcW w:w="418" w:type="dxa"/>
          </w:tcPr>
          <w:p w14:paraId="6C3E1A62" w14:textId="77777777" w:rsidR="007157A6" w:rsidRPr="007157A6" w:rsidRDefault="007157A6" w:rsidP="007157A6">
            <w:pPr>
              <w:rPr>
                <w:lang w:val="en-GB"/>
              </w:rPr>
            </w:pPr>
          </w:p>
        </w:tc>
        <w:tc>
          <w:tcPr>
            <w:tcW w:w="418" w:type="dxa"/>
          </w:tcPr>
          <w:p w14:paraId="25871930" w14:textId="77777777" w:rsidR="007157A6" w:rsidRPr="007157A6" w:rsidRDefault="007157A6" w:rsidP="007157A6">
            <w:pPr>
              <w:rPr>
                <w:lang w:val="en-GB"/>
              </w:rPr>
            </w:pPr>
          </w:p>
        </w:tc>
        <w:tc>
          <w:tcPr>
            <w:tcW w:w="418" w:type="dxa"/>
          </w:tcPr>
          <w:p w14:paraId="4ADE1C61" w14:textId="77777777" w:rsidR="007157A6" w:rsidRPr="007157A6" w:rsidRDefault="007157A6" w:rsidP="007157A6">
            <w:pPr>
              <w:rPr>
                <w:lang w:val="en-GB"/>
              </w:rPr>
            </w:pPr>
          </w:p>
        </w:tc>
        <w:tc>
          <w:tcPr>
            <w:tcW w:w="418" w:type="dxa"/>
          </w:tcPr>
          <w:p w14:paraId="45F39C31" w14:textId="77777777" w:rsidR="007157A6" w:rsidRPr="007157A6" w:rsidRDefault="007157A6" w:rsidP="007157A6">
            <w:pPr>
              <w:rPr>
                <w:lang w:val="en-GB"/>
              </w:rPr>
            </w:pPr>
          </w:p>
        </w:tc>
        <w:tc>
          <w:tcPr>
            <w:tcW w:w="419" w:type="dxa"/>
          </w:tcPr>
          <w:p w14:paraId="2DBBCD4F" w14:textId="77777777" w:rsidR="007157A6" w:rsidRPr="007157A6" w:rsidRDefault="007157A6" w:rsidP="007157A6">
            <w:pPr>
              <w:rPr>
                <w:lang w:val="en-GB"/>
              </w:rPr>
            </w:pPr>
          </w:p>
        </w:tc>
      </w:tr>
      <w:tr w:rsidR="007157A6" w:rsidRPr="007157A6" w14:paraId="4A52CE1D" w14:textId="77777777" w:rsidTr="00C850ED">
        <w:trPr>
          <w:trHeight w:val="798"/>
        </w:trPr>
        <w:tc>
          <w:tcPr>
            <w:tcW w:w="8642" w:type="dxa"/>
            <w:vMerge/>
          </w:tcPr>
          <w:p w14:paraId="1A5D7A7A" w14:textId="77777777" w:rsidR="007157A6" w:rsidRPr="007157A6" w:rsidRDefault="007157A6" w:rsidP="007157A6">
            <w:pPr>
              <w:rPr>
                <w:lang w:val="en-GB"/>
              </w:rPr>
            </w:pPr>
          </w:p>
        </w:tc>
        <w:tc>
          <w:tcPr>
            <w:tcW w:w="3544" w:type="dxa"/>
          </w:tcPr>
          <w:p w14:paraId="0F30639A" w14:textId="77777777" w:rsidR="007157A6" w:rsidRPr="007157A6" w:rsidRDefault="007157A6" w:rsidP="007157A6">
            <w:pPr>
              <w:rPr>
                <w:lang w:val="en-GB"/>
              </w:rPr>
            </w:pPr>
            <w:r w:rsidRPr="007157A6">
              <w:rPr>
                <w:lang w:val="en-GB"/>
              </w:rPr>
              <w:t>Practicability</w:t>
            </w:r>
          </w:p>
        </w:tc>
        <w:tc>
          <w:tcPr>
            <w:tcW w:w="418" w:type="dxa"/>
          </w:tcPr>
          <w:p w14:paraId="4E69D726" w14:textId="77777777" w:rsidR="007157A6" w:rsidRPr="007157A6" w:rsidRDefault="007157A6" w:rsidP="007157A6">
            <w:pPr>
              <w:rPr>
                <w:lang w:val="en-GB"/>
              </w:rPr>
            </w:pPr>
          </w:p>
        </w:tc>
        <w:tc>
          <w:tcPr>
            <w:tcW w:w="418" w:type="dxa"/>
          </w:tcPr>
          <w:p w14:paraId="4D6F9C3A" w14:textId="77777777" w:rsidR="007157A6" w:rsidRPr="007157A6" w:rsidRDefault="007157A6" w:rsidP="007157A6">
            <w:pPr>
              <w:rPr>
                <w:lang w:val="en-GB"/>
              </w:rPr>
            </w:pPr>
          </w:p>
        </w:tc>
        <w:tc>
          <w:tcPr>
            <w:tcW w:w="418" w:type="dxa"/>
          </w:tcPr>
          <w:p w14:paraId="4DC94B97" w14:textId="77777777" w:rsidR="007157A6" w:rsidRPr="007157A6" w:rsidRDefault="007157A6" w:rsidP="007157A6">
            <w:pPr>
              <w:rPr>
                <w:lang w:val="en-GB"/>
              </w:rPr>
            </w:pPr>
          </w:p>
        </w:tc>
        <w:tc>
          <w:tcPr>
            <w:tcW w:w="418" w:type="dxa"/>
          </w:tcPr>
          <w:p w14:paraId="3E65B69F" w14:textId="77777777" w:rsidR="007157A6" w:rsidRPr="007157A6" w:rsidRDefault="007157A6" w:rsidP="007157A6">
            <w:pPr>
              <w:rPr>
                <w:lang w:val="en-GB"/>
              </w:rPr>
            </w:pPr>
          </w:p>
        </w:tc>
        <w:tc>
          <w:tcPr>
            <w:tcW w:w="419" w:type="dxa"/>
          </w:tcPr>
          <w:p w14:paraId="5F1BD8A3" w14:textId="77777777" w:rsidR="007157A6" w:rsidRPr="007157A6" w:rsidRDefault="007157A6" w:rsidP="007157A6">
            <w:pPr>
              <w:rPr>
                <w:lang w:val="en-GB"/>
              </w:rPr>
            </w:pPr>
          </w:p>
        </w:tc>
      </w:tr>
      <w:tr w:rsidR="007157A6" w:rsidRPr="007157A6" w14:paraId="3C172998" w14:textId="77777777" w:rsidTr="00C850ED">
        <w:trPr>
          <w:trHeight w:val="799"/>
        </w:trPr>
        <w:tc>
          <w:tcPr>
            <w:tcW w:w="8642" w:type="dxa"/>
            <w:vMerge/>
          </w:tcPr>
          <w:p w14:paraId="65BA13C3" w14:textId="77777777" w:rsidR="007157A6" w:rsidRPr="007157A6" w:rsidRDefault="007157A6" w:rsidP="007157A6">
            <w:pPr>
              <w:rPr>
                <w:lang w:val="en-GB"/>
              </w:rPr>
            </w:pPr>
          </w:p>
        </w:tc>
        <w:tc>
          <w:tcPr>
            <w:tcW w:w="3544" w:type="dxa"/>
          </w:tcPr>
          <w:p w14:paraId="2E9508E4"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682DFA2" w14:textId="77777777" w:rsidR="007157A6" w:rsidRPr="007157A6" w:rsidRDefault="007157A6" w:rsidP="007157A6">
            <w:pPr>
              <w:rPr>
                <w:lang w:val="en-GB"/>
              </w:rPr>
            </w:pPr>
          </w:p>
        </w:tc>
        <w:tc>
          <w:tcPr>
            <w:tcW w:w="418" w:type="dxa"/>
          </w:tcPr>
          <w:p w14:paraId="05CA044D" w14:textId="77777777" w:rsidR="007157A6" w:rsidRPr="007157A6" w:rsidRDefault="007157A6" w:rsidP="007157A6">
            <w:pPr>
              <w:rPr>
                <w:lang w:val="en-GB"/>
              </w:rPr>
            </w:pPr>
          </w:p>
        </w:tc>
        <w:tc>
          <w:tcPr>
            <w:tcW w:w="418" w:type="dxa"/>
          </w:tcPr>
          <w:p w14:paraId="3213A529" w14:textId="77777777" w:rsidR="007157A6" w:rsidRPr="007157A6" w:rsidRDefault="007157A6" w:rsidP="007157A6">
            <w:pPr>
              <w:rPr>
                <w:lang w:val="en-GB"/>
              </w:rPr>
            </w:pPr>
          </w:p>
        </w:tc>
        <w:tc>
          <w:tcPr>
            <w:tcW w:w="418" w:type="dxa"/>
          </w:tcPr>
          <w:p w14:paraId="36B3EFA9" w14:textId="77777777" w:rsidR="007157A6" w:rsidRPr="007157A6" w:rsidRDefault="007157A6" w:rsidP="007157A6">
            <w:pPr>
              <w:rPr>
                <w:lang w:val="en-GB"/>
              </w:rPr>
            </w:pPr>
          </w:p>
        </w:tc>
        <w:tc>
          <w:tcPr>
            <w:tcW w:w="419" w:type="dxa"/>
          </w:tcPr>
          <w:p w14:paraId="2FFDF119" w14:textId="77777777" w:rsidR="007157A6" w:rsidRPr="007157A6" w:rsidRDefault="007157A6" w:rsidP="007157A6">
            <w:pPr>
              <w:rPr>
                <w:lang w:val="en-GB"/>
              </w:rPr>
            </w:pPr>
          </w:p>
        </w:tc>
      </w:tr>
      <w:tr w:rsidR="007157A6" w:rsidRPr="007157A6" w14:paraId="2D6CB9F1" w14:textId="77777777" w:rsidTr="00C850ED">
        <w:tc>
          <w:tcPr>
            <w:tcW w:w="8642" w:type="dxa"/>
            <w:shd w:val="clear" w:color="auto" w:fill="D9D9D9" w:themeFill="background1" w:themeFillShade="D9"/>
          </w:tcPr>
          <w:p w14:paraId="5FA37A11"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D8ED3D1"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B60B326"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17C57174"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0C9E2EE8"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2B7A43DD"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C8A3700" w14:textId="77777777" w:rsidR="007157A6" w:rsidRPr="007157A6" w:rsidRDefault="007157A6" w:rsidP="007157A6">
            <w:pPr>
              <w:rPr>
                <w:lang w:val="en-GB"/>
              </w:rPr>
            </w:pPr>
            <w:r w:rsidRPr="007157A6">
              <w:rPr>
                <w:b/>
                <w:lang w:val="en-GB"/>
              </w:rPr>
              <w:t>1</w:t>
            </w:r>
          </w:p>
        </w:tc>
      </w:tr>
      <w:tr w:rsidR="007157A6" w:rsidRPr="007157A6" w14:paraId="308AC638" w14:textId="77777777" w:rsidTr="00C850ED">
        <w:trPr>
          <w:trHeight w:val="537"/>
        </w:trPr>
        <w:tc>
          <w:tcPr>
            <w:tcW w:w="8642" w:type="dxa"/>
            <w:vMerge w:val="restart"/>
          </w:tcPr>
          <w:p w14:paraId="3F261C35" w14:textId="77777777" w:rsidR="007157A6" w:rsidRPr="007157A6" w:rsidRDefault="007157A6" w:rsidP="007157A6">
            <w:pPr>
              <w:rPr>
                <w:lang w:val="en-GB"/>
              </w:rPr>
            </w:pPr>
            <w:r w:rsidRPr="007157A6">
              <w:rPr>
                <w:lang w:val="en-GB"/>
              </w:rPr>
              <w:t>In addition, greater standardisation of the time and place of disclosures of sustainability data should be considered over the next few years, as this would enhance the comparability of sustainability data (e.g. in connection with the selected audit depth). This concerns the desirable, simultaneous and, in the best case, integrated publication of both financial and sustainability data (see section 315b of the HGB) and/or the greater integration over time of sustainability data into companies’ business and financial reporting.</w:t>
            </w:r>
          </w:p>
        </w:tc>
        <w:tc>
          <w:tcPr>
            <w:tcW w:w="3544" w:type="dxa"/>
          </w:tcPr>
          <w:p w14:paraId="3414E5EF" w14:textId="77777777" w:rsidR="007157A6" w:rsidRPr="007157A6" w:rsidRDefault="007157A6" w:rsidP="007157A6">
            <w:pPr>
              <w:rPr>
                <w:lang w:val="en-GB"/>
              </w:rPr>
            </w:pPr>
            <w:r w:rsidRPr="007157A6">
              <w:rPr>
                <w:lang w:val="en-GB"/>
              </w:rPr>
              <w:t>Will foster Sustainable Finance in Germany</w:t>
            </w:r>
          </w:p>
        </w:tc>
        <w:tc>
          <w:tcPr>
            <w:tcW w:w="418" w:type="dxa"/>
          </w:tcPr>
          <w:p w14:paraId="20C5E302" w14:textId="77777777" w:rsidR="007157A6" w:rsidRPr="007157A6" w:rsidRDefault="007157A6" w:rsidP="007157A6">
            <w:pPr>
              <w:rPr>
                <w:lang w:val="en-GB"/>
              </w:rPr>
            </w:pPr>
          </w:p>
        </w:tc>
        <w:tc>
          <w:tcPr>
            <w:tcW w:w="418" w:type="dxa"/>
          </w:tcPr>
          <w:p w14:paraId="62A28DC1" w14:textId="77777777" w:rsidR="007157A6" w:rsidRPr="007157A6" w:rsidRDefault="007157A6" w:rsidP="007157A6">
            <w:pPr>
              <w:rPr>
                <w:lang w:val="en-GB"/>
              </w:rPr>
            </w:pPr>
          </w:p>
        </w:tc>
        <w:tc>
          <w:tcPr>
            <w:tcW w:w="418" w:type="dxa"/>
          </w:tcPr>
          <w:p w14:paraId="112510A3" w14:textId="77777777" w:rsidR="007157A6" w:rsidRPr="007157A6" w:rsidRDefault="007157A6" w:rsidP="007157A6">
            <w:pPr>
              <w:rPr>
                <w:lang w:val="en-GB"/>
              </w:rPr>
            </w:pPr>
          </w:p>
        </w:tc>
        <w:tc>
          <w:tcPr>
            <w:tcW w:w="418" w:type="dxa"/>
          </w:tcPr>
          <w:p w14:paraId="55FC09CA" w14:textId="77777777" w:rsidR="007157A6" w:rsidRPr="007157A6" w:rsidRDefault="007157A6" w:rsidP="007157A6">
            <w:pPr>
              <w:rPr>
                <w:lang w:val="en-GB"/>
              </w:rPr>
            </w:pPr>
          </w:p>
        </w:tc>
        <w:tc>
          <w:tcPr>
            <w:tcW w:w="419" w:type="dxa"/>
          </w:tcPr>
          <w:p w14:paraId="41107CA6" w14:textId="77777777" w:rsidR="007157A6" w:rsidRPr="007157A6" w:rsidRDefault="007157A6" w:rsidP="007157A6">
            <w:pPr>
              <w:rPr>
                <w:lang w:val="en-GB"/>
              </w:rPr>
            </w:pPr>
          </w:p>
        </w:tc>
      </w:tr>
      <w:tr w:rsidR="007157A6" w:rsidRPr="007157A6" w14:paraId="7100E961" w14:textId="77777777" w:rsidTr="00C850ED">
        <w:trPr>
          <w:trHeight w:val="537"/>
        </w:trPr>
        <w:tc>
          <w:tcPr>
            <w:tcW w:w="8642" w:type="dxa"/>
            <w:vMerge/>
          </w:tcPr>
          <w:p w14:paraId="56E32AFC" w14:textId="77777777" w:rsidR="007157A6" w:rsidRPr="007157A6" w:rsidRDefault="007157A6" w:rsidP="007157A6">
            <w:pPr>
              <w:rPr>
                <w:lang w:val="en-GB"/>
              </w:rPr>
            </w:pPr>
          </w:p>
        </w:tc>
        <w:tc>
          <w:tcPr>
            <w:tcW w:w="3544" w:type="dxa"/>
          </w:tcPr>
          <w:p w14:paraId="63F4DAD0" w14:textId="77777777" w:rsidR="007157A6" w:rsidRPr="007157A6" w:rsidRDefault="007157A6" w:rsidP="007157A6">
            <w:pPr>
              <w:rPr>
                <w:lang w:val="en-GB"/>
              </w:rPr>
            </w:pPr>
            <w:r w:rsidRPr="007157A6">
              <w:rPr>
                <w:lang w:val="en-GB"/>
              </w:rPr>
              <w:t>Level of ambition</w:t>
            </w:r>
          </w:p>
        </w:tc>
        <w:tc>
          <w:tcPr>
            <w:tcW w:w="418" w:type="dxa"/>
          </w:tcPr>
          <w:p w14:paraId="437B5287" w14:textId="77777777" w:rsidR="007157A6" w:rsidRPr="007157A6" w:rsidRDefault="007157A6" w:rsidP="007157A6">
            <w:pPr>
              <w:rPr>
                <w:lang w:val="en-GB"/>
              </w:rPr>
            </w:pPr>
          </w:p>
        </w:tc>
        <w:tc>
          <w:tcPr>
            <w:tcW w:w="418" w:type="dxa"/>
          </w:tcPr>
          <w:p w14:paraId="6D19CD45" w14:textId="77777777" w:rsidR="007157A6" w:rsidRPr="007157A6" w:rsidRDefault="007157A6" w:rsidP="007157A6">
            <w:pPr>
              <w:rPr>
                <w:lang w:val="en-GB"/>
              </w:rPr>
            </w:pPr>
          </w:p>
        </w:tc>
        <w:tc>
          <w:tcPr>
            <w:tcW w:w="418" w:type="dxa"/>
          </w:tcPr>
          <w:p w14:paraId="11E4D42B" w14:textId="77777777" w:rsidR="007157A6" w:rsidRPr="007157A6" w:rsidRDefault="007157A6" w:rsidP="007157A6">
            <w:pPr>
              <w:rPr>
                <w:lang w:val="en-GB"/>
              </w:rPr>
            </w:pPr>
          </w:p>
        </w:tc>
        <w:tc>
          <w:tcPr>
            <w:tcW w:w="418" w:type="dxa"/>
          </w:tcPr>
          <w:p w14:paraId="12AC3217" w14:textId="77777777" w:rsidR="007157A6" w:rsidRPr="007157A6" w:rsidRDefault="007157A6" w:rsidP="007157A6">
            <w:pPr>
              <w:rPr>
                <w:lang w:val="en-GB"/>
              </w:rPr>
            </w:pPr>
          </w:p>
        </w:tc>
        <w:tc>
          <w:tcPr>
            <w:tcW w:w="419" w:type="dxa"/>
          </w:tcPr>
          <w:p w14:paraId="730A663B" w14:textId="77777777" w:rsidR="007157A6" w:rsidRPr="007157A6" w:rsidRDefault="007157A6" w:rsidP="007157A6">
            <w:pPr>
              <w:rPr>
                <w:lang w:val="en-GB"/>
              </w:rPr>
            </w:pPr>
          </w:p>
        </w:tc>
      </w:tr>
      <w:tr w:rsidR="007157A6" w:rsidRPr="007157A6" w14:paraId="5C5106E7" w14:textId="77777777" w:rsidTr="00C850ED">
        <w:trPr>
          <w:trHeight w:val="537"/>
        </w:trPr>
        <w:tc>
          <w:tcPr>
            <w:tcW w:w="8642" w:type="dxa"/>
            <w:vMerge/>
          </w:tcPr>
          <w:p w14:paraId="4B06297F" w14:textId="77777777" w:rsidR="007157A6" w:rsidRPr="007157A6" w:rsidRDefault="007157A6" w:rsidP="007157A6">
            <w:pPr>
              <w:rPr>
                <w:lang w:val="en-GB"/>
              </w:rPr>
            </w:pPr>
          </w:p>
        </w:tc>
        <w:tc>
          <w:tcPr>
            <w:tcW w:w="3544" w:type="dxa"/>
          </w:tcPr>
          <w:p w14:paraId="4672BF55" w14:textId="77777777" w:rsidR="007157A6" w:rsidRPr="007157A6" w:rsidRDefault="007157A6" w:rsidP="007157A6">
            <w:pPr>
              <w:rPr>
                <w:lang w:val="en-GB"/>
              </w:rPr>
            </w:pPr>
            <w:r w:rsidRPr="007157A6">
              <w:rPr>
                <w:lang w:val="en-GB"/>
              </w:rPr>
              <w:t>Practicability</w:t>
            </w:r>
          </w:p>
        </w:tc>
        <w:tc>
          <w:tcPr>
            <w:tcW w:w="418" w:type="dxa"/>
          </w:tcPr>
          <w:p w14:paraId="3B2303AF" w14:textId="77777777" w:rsidR="007157A6" w:rsidRPr="007157A6" w:rsidRDefault="007157A6" w:rsidP="007157A6">
            <w:pPr>
              <w:rPr>
                <w:lang w:val="en-GB"/>
              </w:rPr>
            </w:pPr>
          </w:p>
        </w:tc>
        <w:tc>
          <w:tcPr>
            <w:tcW w:w="418" w:type="dxa"/>
          </w:tcPr>
          <w:p w14:paraId="49512851" w14:textId="77777777" w:rsidR="007157A6" w:rsidRPr="007157A6" w:rsidRDefault="007157A6" w:rsidP="007157A6">
            <w:pPr>
              <w:rPr>
                <w:lang w:val="en-GB"/>
              </w:rPr>
            </w:pPr>
          </w:p>
        </w:tc>
        <w:tc>
          <w:tcPr>
            <w:tcW w:w="418" w:type="dxa"/>
          </w:tcPr>
          <w:p w14:paraId="498479CD" w14:textId="77777777" w:rsidR="007157A6" w:rsidRPr="007157A6" w:rsidRDefault="007157A6" w:rsidP="007157A6">
            <w:pPr>
              <w:rPr>
                <w:lang w:val="en-GB"/>
              </w:rPr>
            </w:pPr>
          </w:p>
        </w:tc>
        <w:tc>
          <w:tcPr>
            <w:tcW w:w="418" w:type="dxa"/>
          </w:tcPr>
          <w:p w14:paraId="7A418729" w14:textId="77777777" w:rsidR="007157A6" w:rsidRPr="007157A6" w:rsidRDefault="007157A6" w:rsidP="007157A6">
            <w:pPr>
              <w:rPr>
                <w:lang w:val="en-GB"/>
              </w:rPr>
            </w:pPr>
          </w:p>
        </w:tc>
        <w:tc>
          <w:tcPr>
            <w:tcW w:w="419" w:type="dxa"/>
          </w:tcPr>
          <w:p w14:paraId="3EEB19FE" w14:textId="77777777" w:rsidR="007157A6" w:rsidRPr="007157A6" w:rsidRDefault="007157A6" w:rsidP="007157A6">
            <w:pPr>
              <w:rPr>
                <w:lang w:val="en-GB"/>
              </w:rPr>
            </w:pPr>
          </w:p>
        </w:tc>
      </w:tr>
      <w:tr w:rsidR="007157A6" w:rsidRPr="007157A6" w14:paraId="4A9DBC4A" w14:textId="77777777" w:rsidTr="00C850ED">
        <w:trPr>
          <w:trHeight w:val="537"/>
        </w:trPr>
        <w:tc>
          <w:tcPr>
            <w:tcW w:w="8642" w:type="dxa"/>
            <w:vMerge/>
          </w:tcPr>
          <w:p w14:paraId="2B82BFC2" w14:textId="77777777" w:rsidR="007157A6" w:rsidRPr="007157A6" w:rsidRDefault="007157A6" w:rsidP="007157A6">
            <w:pPr>
              <w:rPr>
                <w:lang w:val="en-GB"/>
              </w:rPr>
            </w:pPr>
          </w:p>
        </w:tc>
        <w:tc>
          <w:tcPr>
            <w:tcW w:w="3544" w:type="dxa"/>
          </w:tcPr>
          <w:p w14:paraId="5203484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2F87441" w14:textId="77777777" w:rsidR="007157A6" w:rsidRPr="007157A6" w:rsidRDefault="007157A6" w:rsidP="007157A6">
            <w:pPr>
              <w:rPr>
                <w:lang w:val="en-GB"/>
              </w:rPr>
            </w:pPr>
          </w:p>
        </w:tc>
        <w:tc>
          <w:tcPr>
            <w:tcW w:w="418" w:type="dxa"/>
          </w:tcPr>
          <w:p w14:paraId="7090BEBF" w14:textId="77777777" w:rsidR="007157A6" w:rsidRPr="007157A6" w:rsidRDefault="007157A6" w:rsidP="007157A6">
            <w:pPr>
              <w:rPr>
                <w:lang w:val="en-GB"/>
              </w:rPr>
            </w:pPr>
          </w:p>
        </w:tc>
        <w:tc>
          <w:tcPr>
            <w:tcW w:w="418" w:type="dxa"/>
          </w:tcPr>
          <w:p w14:paraId="7BF29D1E" w14:textId="77777777" w:rsidR="007157A6" w:rsidRPr="007157A6" w:rsidRDefault="007157A6" w:rsidP="007157A6">
            <w:pPr>
              <w:rPr>
                <w:lang w:val="en-GB"/>
              </w:rPr>
            </w:pPr>
          </w:p>
        </w:tc>
        <w:tc>
          <w:tcPr>
            <w:tcW w:w="418" w:type="dxa"/>
          </w:tcPr>
          <w:p w14:paraId="2582924B" w14:textId="77777777" w:rsidR="007157A6" w:rsidRPr="007157A6" w:rsidRDefault="007157A6" w:rsidP="007157A6">
            <w:pPr>
              <w:rPr>
                <w:lang w:val="en-GB"/>
              </w:rPr>
            </w:pPr>
          </w:p>
        </w:tc>
        <w:tc>
          <w:tcPr>
            <w:tcW w:w="419" w:type="dxa"/>
          </w:tcPr>
          <w:p w14:paraId="1D330D9B" w14:textId="77777777" w:rsidR="007157A6" w:rsidRPr="007157A6" w:rsidRDefault="007157A6" w:rsidP="007157A6">
            <w:pPr>
              <w:rPr>
                <w:lang w:val="en-GB"/>
              </w:rPr>
            </w:pPr>
          </w:p>
        </w:tc>
      </w:tr>
      <w:tr w:rsidR="007157A6" w:rsidRPr="007157A6" w14:paraId="71374AB3" w14:textId="77777777" w:rsidTr="00C850ED">
        <w:tc>
          <w:tcPr>
            <w:tcW w:w="8642" w:type="dxa"/>
            <w:shd w:val="clear" w:color="auto" w:fill="D9D9D9" w:themeFill="background1" w:themeFillShade="D9"/>
          </w:tcPr>
          <w:p w14:paraId="204D3994"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4DA69C4F"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0BC76FB9"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7D15CAB2"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480DFB3C"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5B6C0E47"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5B6C9FB2" w14:textId="77777777" w:rsidR="007157A6" w:rsidRPr="007157A6" w:rsidRDefault="007157A6" w:rsidP="007157A6">
            <w:pPr>
              <w:rPr>
                <w:b/>
                <w:lang w:val="en-GB"/>
              </w:rPr>
            </w:pPr>
            <w:r w:rsidRPr="007157A6">
              <w:rPr>
                <w:b/>
                <w:lang w:val="en-GB"/>
              </w:rPr>
              <w:t>1</w:t>
            </w:r>
          </w:p>
        </w:tc>
      </w:tr>
      <w:tr w:rsidR="007157A6" w:rsidRPr="007157A6" w14:paraId="390BF689" w14:textId="77777777" w:rsidTr="00C850ED">
        <w:tc>
          <w:tcPr>
            <w:tcW w:w="8642" w:type="dxa"/>
            <w:vMerge w:val="restart"/>
          </w:tcPr>
          <w:p w14:paraId="7139A977" w14:textId="77777777" w:rsidR="007157A6" w:rsidRPr="007157A6" w:rsidRDefault="007157A6" w:rsidP="007157A6">
            <w:pPr>
              <w:rPr>
                <w:lang w:val="en-GB"/>
              </w:rPr>
            </w:pPr>
            <w:r w:rsidRPr="007157A6">
              <w:rPr>
                <w:lang w:val="en-GB"/>
              </w:rPr>
              <w:t>Expand and specify the content of non-financial reporting by establishing sustainability indicators.</w:t>
            </w:r>
          </w:p>
        </w:tc>
        <w:tc>
          <w:tcPr>
            <w:tcW w:w="3544" w:type="dxa"/>
          </w:tcPr>
          <w:p w14:paraId="4C271E8F" w14:textId="77777777" w:rsidR="007157A6" w:rsidRPr="007157A6" w:rsidRDefault="007157A6" w:rsidP="007157A6">
            <w:pPr>
              <w:rPr>
                <w:lang w:val="en-GB"/>
              </w:rPr>
            </w:pPr>
            <w:r w:rsidRPr="007157A6">
              <w:rPr>
                <w:lang w:val="en-GB"/>
              </w:rPr>
              <w:t>Will foster Sustainable Finance in Germany</w:t>
            </w:r>
          </w:p>
        </w:tc>
        <w:tc>
          <w:tcPr>
            <w:tcW w:w="418" w:type="dxa"/>
          </w:tcPr>
          <w:p w14:paraId="13CC362F" w14:textId="77777777" w:rsidR="007157A6" w:rsidRPr="007157A6" w:rsidRDefault="007157A6" w:rsidP="007157A6">
            <w:pPr>
              <w:rPr>
                <w:lang w:val="en-GB"/>
              </w:rPr>
            </w:pPr>
          </w:p>
        </w:tc>
        <w:tc>
          <w:tcPr>
            <w:tcW w:w="418" w:type="dxa"/>
          </w:tcPr>
          <w:p w14:paraId="1C476193" w14:textId="77777777" w:rsidR="007157A6" w:rsidRPr="007157A6" w:rsidRDefault="007157A6" w:rsidP="007157A6">
            <w:pPr>
              <w:rPr>
                <w:lang w:val="en-GB"/>
              </w:rPr>
            </w:pPr>
          </w:p>
        </w:tc>
        <w:tc>
          <w:tcPr>
            <w:tcW w:w="418" w:type="dxa"/>
          </w:tcPr>
          <w:p w14:paraId="7976F63A" w14:textId="77777777" w:rsidR="007157A6" w:rsidRPr="007157A6" w:rsidRDefault="007157A6" w:rsidP="007157A6">
            <w:pPr>
              <w:rPr>
                <w:lang w:val="en-GB"/>
              </w:rPr>
            </w:pPr>
          </w:p>
        </w:tc>
        <w:tc>
          <w:tcPr>
            <w:tcW w:w="418" w:type="dxa"/>
          </w:tcPr>
          <w:p w14:paraId="63D10741" w14:textId="77777777" w:rsidR="007157A6" w:rsidRPr="007157A6" w:rsidRDefault="007157A6" w:rsidP="007157A6">
            <w:pPr>
              <w:rPr>
                <w:lang w:val="en-GB"/>
              </w:rPr>
            </w:pPr>
          </w:p>
        </w:tc>
        <w:tc>
          <w:tcPr>
            <w:tcW w:w="419" w:type="dxa"/>
          </w:tcPr>
          <w:p w14:paraId="65102FF0" w14:textId="77777777" w:rsidR="007157A6" w:rsidRPr="007157A6" w:rsidRDefault="007157A6" w:rsidP="007157A6">
            <w:pPr>
              <w:rPr>
                <w:lang w:val="en-GB"/>
              </w:rPr>
            </w:pPr>
          </w:p>
        </w:tc>
      </w:tr>
      <w:tr w:rsidR="007157A6" w:rsidRPr="007157A6" w14:paraId="77FBCCE3" w14:textId="77777777" w:rsidTr="00C850ED">
        <w:tc>
          <w:tcPr>
            <w:tcW w:w="8642" w:type="dxa"/>
            <w:vMerge/>
          </w:tcPr>
          <w:p w14:paraId="1AFDB246" w14:textId="77777777" w:rsidR="007157A6" w:rsidRPr="007157A6" w:rsidRDefault="007157A6" w:rsidP="007157A6">
            <w:pPr>
              <w:rPr>
                <w:lang w:val="en-GB"/>
              </w:rPr>
            </w:pPr>
          </w:p>
        </w:tc>
        <w:tc>
          <w:tcPr>
            <w:tcW w:w="3544" w:type="dxa"/>
          </w:tcPr>
          <w:p w14:paraId="11ACEC5E" w14:textId="77777777" w:rsidR="007157A6" w:rsidRPr="007157A6" w:rsidRDefault="007157A6" w:rsidP="007157A6">
            <w:pPr>
              <w:rPr>
                <w:lang w:val="en-GB"/>
              </w:rPr>
            </w:pPr>
            <w:r w:rsidRPr="007157A6">
              <w:rPr>
                <w:lang w:val="en-GB"/>
              </w:rPr>
              <w:t>Level of ambition</w:t>
            </w:r>
          </w:p>
        </w:tc>
        <w:tc>
          <w:tcPr>
            <w:tcW w:w="418" w:type="dxa"/>
          </w:tcPr>
          <w:p w14:paraId="31F489D2" w14:textId="77777777" w:rsidR="007157A6" w:rsidRPr="007157A6" w:rsidRDefault="007157A6" w:rsidP="007157A6">
            <w:pPr>
              <w:rPr>
                <w:lang w:val="en-GB"/>
              </w:rPr>
            </w:pPr>
          </w:p>
        </w:tc>
        <w:tc>
          <w:tcPr>
            <w:tcW w:w="418" w:type="dxa"/>
          </w:tcPr>
          <w:p w14:paraId="0D58158F" w14:textId="77777777" w:rsidR="007157A6" w:rsidRPr="007157A6" w:rsidRDefault="007157A6" w:rsidP="007157A6">
            <w:pPr>
              <w:rPr>
                <w:lang w:val="en-GB"/>
              </w:rPr>
            </w:pPr>
          </w:p>
        </w:tc>
        <w:tc>
          <w:tcPr>
            <w:tcW w:w="418" w:type="dxa"/>
          </w:tcPr>
          <w:p w14:paraId="073FC161" w14:textId="77777777" w:rsidR="007157A6" w:rsidRPr="007157A6" w:rsidRDefault="007157A6" w:rsidP="007157A6">
            <w:pPr>
              <w:rPr>
                <w:lang w:val="en-GB"/>
              </w:rPr>
            </w:pPr>
          </w:p>
        </w:tc>
        <w:tc>
          <w:tcPr>
            <w:tcW w:w="418" w:type="dxa"/>
          </w:tcPr>
          <w:p w14:paraId="33EA6315" w14:textId="77777777" w:rsidR="007157A6" w:rsidRPr="007157A6" w:rsidRDefault="007157A6" w:rsidP="007157A6">
            <w:pPr>
              <w:rPr>
                <w:lang w:val="en-GB"/>
              </w:rPr>
            </w:pPr>
          </w:p>
        </w:tc>
        <w:tc>
          <w:tcPr>
            <w:tcW w:w="419" w:type="dxa"/>
          </w:tcPr>
          <w:p w14:paraId="41E7E2FD" w14:textId="77777777" w:rsidR="007157A6" w:rsidRPr="007157A6" w:rsidRDefault="007157A6" w:rsidP="007157A6">
            <w:pPr>
              <w:rPr>
                <w:lang w:val="en-GB"/>
              </w:rPr>
            </w:pPr>
          </w:p>
        </w:tc>
      </w:tr>
      <w:tr w:rsidR="007157A6" w:rsidRPr="007157A6" w14:paraId="4FBA01D1" w14:textId="77777777" w:rsidTr="00C850ED">
        <w:tc>
          <w:tcPr>
            <w:tcW w:w="8642" w:type="dxa"/>
            <w:vMerge/>
          </w:tcPr>
          <w:p w14:paraId="11F01D86" w14:textId="77777777" w:rsidR="007157A6" w:rsidRPr="007157A6" w:rsidRDefault="007157A6" w:rsidP="007157A6">
            <w:pPr>
              <w:rPr>
                <w:lang w:val="en-GB"/>
              </w:rPr>
            </w:pPr>
          </w:p>
        </w:tc>
        <w:tc>
          <w:tcPr>
            <w:tcW w:w="3544" w:type="dxa"/>
          </w:tcPr>
          <w:p w14:paraId="43A9574D" w14:textId="77777777" w:rsidR="007157A6" w:rsidRPr="007157A6" w:rsidRDefault="007157A6" w:rsidP="007157A6">
            <w:pPr>
              <w:rPr>
                <w:lang w:val="en-GB"/>
              </w:rPr>
            </w:pPr>
            <w:r w:rsidRPr="007157A6">
              <w:rPr>
                <w:lang w:val="en-GB"/>
              </w:rPr>
              <w:t>Practicability</w:t>
            </w:r>
          </w:p>
        </w:tc>
        <w:tc>
          <w:tcPr>
            <w:tcW w:w="418" w:type="dxa"/>
          </w:tcPr>
          <w:p w14:paraId="5286F299" w14:textId="77777777" w:rsidR="007157A6" w:rsidRPr="007157A6" w:rsidRDefault="007157A6" w:rsidP="007157A6">
            <w:pPr>
              <w:rPr>
                <w:lang w:val="en-GB"/>
              </w:rPr>
            </w:pPr>
          </w:p>
        </w:tc>
        <w:tc>
          <w:tcPr>
            <w:tcW w:w="418" w:type="dxa"/>
          </w:tcPr>
          <w:p w14:paraId="1E15B851" w14:textId="77777777" w:rsidR="007157A6" w:rsidRPr="007157A6" w:rsidRDefault="007157A6" w:rsidP="007157A6">
            <w:pPr>
              <w:rPr>
                <w:lang w:val="en-GB"/>
              </w:rPr>
            </w:pPr>
          </w:p>
        </w:tc>
        <w:tc>
          <w:tcPr>
            <w:tcW w:w="418" w:type="dxa"/>
          </w:tcPr>
          <w:p w14:paraId="424CC202" w14:textId="77777777" w:rsidR="007157A6" w:rsidRPr="007157A6" w:rsidRDefault="007157A6" w:rsidP="007157A6">
            <w:pPr>
              <w:rPr>
                <w:lang w:val="en-GB"/>
              </w:rPr>
            </w:pPr>
          </w:p>
        </w:tc>
        <w:tc>
          <w:tcPr>
            <w:tcW w:w="418" w:type="dxa"/>
          </w:tcPr>
          <w:p w14:paraId="15BBA49D" w14:textId="77777777" w:rsidR="007157A6" w:rsidRPr="007157A6" w:rsidRDefault="007157A6" w:rsidP="007157A6">
            <w:pPr>
              <w:rPr>
                <w:lang w:val="en-GB"/>
              </w:rPr>
            </w:pPr>
          </w:p>
        </w:tc>
        <w:tc>
          <w:tcPr>
            <w:tcW w:w="419" w:type="dxa"/>
          </w:tcPr>
          <w:p w14:paraId="5AA6E55D" w14:textId="77777777" w:rsidR="007157A6" w:rsidRPr="007157A6" w:rsidRDefault="007157A6" w:rsidP="007157A6">
            <w:pPr>
              <w:rPr>
                <w:lang w:val="en-GB"/>
              </w:rPr>
            </w:pPr>
          </w:p>
        </w:tc>
      </w:tr>
      <w:tr w:rsidR="007157A6" w:rsidRPr="007157A6" w14:paraId="253ADFEC" w14:textId="77777777" w:rsidTr="00C850ED">
        <w:tc>
          <w:tcPr>
            <w:tcW w:w="8642" w:type="dxa"/>
            <w:vMerge/>
          </w:tcPr>
          <w:p w14:paraId="2DE49162" w14:textId="77777777" w:rsidR="007157A6" w:rsidRPr="007157A6" w:rsidRDefault="007157A6" w:rsidP="007157A6">
            <w:pPr>
              <w:rPr>
                <w:lang w:val="en-GB"/>
              </w:rPr>
            </w:pPr>
          </w:p>
        </w:tc>
        <w:tc>
          <w:tcPr>
            <w:tcW w:w="3544" w:type="dxa"/>
          </w:tcPr>
          <w:p w14:paraId="34AA2A01"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F1A3430" w14:textId="77777777" w:rsidR="007157A6" w:rsidRPr="007157A6" w:rsidRDefault="007157A6" w:rsidP="007157A6">
            <w:pPr>
              <w:rPr>
                <w:lang w:val="en-GB"/>
              </w:rPr>
            </w:pPr>
          </w:p>
        </w:tc>
        <w:tc>
          <w:tcPr>
            <w:tcW w:w="418" w:type="dxa"/>
          </w:tcPr>
          <w:p w14:paraId="2B510EBF" w14:textId="77777777" w:rsidR="007157A6" w:rsidRPr="007157A6" w:rsidRDefault="007157A6" w:rsidP="007157A6">
            <w:pPr>
              <w:rPr>
                <w:lang w:val="en-GB"/>
              </w:rPr>
            </w:pPr>
          </w:p>
        </w:tc>
        <w:tc>
          <w:tcPr>
            <w:tcW w:w="418" w:type="dxa"/>
          </w:tcPr>
          <w:p w14:paraId="5FAF9239" w14:textId="77777777" w:rsidR="007157A6" w:rsidRPr="007157A6" w:rsidRDefault="007157A6" w:rsidP="007157A6">
            <w:pPr>
              <w:rPr>
                <w:lang w:val="en-GB"/>
              </w:rPr>
            </w:pPr>
          </w:p>
        </w:tc>
        <w:tc>
          <w:tcPr>
            <w:tcW w:w="418" w:type="dxa"/>
          </w:tcPr>
          <w:p w14:paraId="6D897091" w14:textId="77777777" w:rsidR="007157A6" w:rsidRPr="007157A6" w:rsidRDefault="007157A6" w:rsidP="007157A6">
            <w:pPr>
              <w:rPr>
                <w:lang w:val="en-GB"/>
              </w:rPr>
            </w:pPr>
          </w:p>
        </w:tc>
        <w:tc>
          <w:tcPr>
            <w:tcW w:w="419" w:type="dxa"/>
          </w:tcPr>
          <w:p w14:paraId="4CB05F0A" w14:textId="77777777" w:rsidR="007157A6" w:rsidRPr="007157A6" w:rsidRDefault="007157A6" w:rsidP="007157A6">
            <w:pPr>
              <w:rPr>
                <w:lang w:val="en-GB"/>
              </w:rPr>
            </w:pPr>
          </w:p>
        </w:tc>
      </w:tr>
      <w:tr w:rsidR="007157A6" w:rsidRPr="007157A6" w14:paraId="2FD7CF39" w14:textId="77777777" w:rsidTr="00C850ED">
        <w:tc>
          <w:tcPr>
            <w:tcW w:w="8642" w:type="dxa"/>
            <w:shd w:val="clear" w:color="auto" w:fill="D9D9D9" w:themeFill="background1" w:themeFillShade="D9"/>
          </w:tcPr>
          <w:p w14:paraId="5EAD19AE"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31BF03D9"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8037B4B"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89DAF76"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2460F2B9"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64C672B"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2C1EACCC" w14:textId="77777777" w:rsidR="007157A6" w:rsidRPr="007157A6" w:rsidRDefault="007157A6" w:rsidP="007157A6">
            <w:pPr>
              <w:rPr>
                <w:lang w:val="en-GB"/>
              </w:rPr>
            </w:pPr>
            <w:r w:rsidRPr="007157A6">
              <w:rPr>
                <w:b/>
                <w:lang w:val="en-GB"/>
              </w:rPr>
              <w:t>1</w:t>
            </w:r>
          </w:p>
        </w:tc>
      </w:tr>
      <w:tr w:rsidR="007157A6" w:rsidRPr="007157A6" w14:paraId="668521B3" w14:textId="77777777" w:rsidTr="00C850ED">
        <w:trPr>
          <w:trHeight w:val="932"/>
        </w:trPr>
        <w:tc>
          <w:tcPr>
            <w:tcW w:w="8642" w:type="dxa"/>
            <w:vMerge w:val="restart"/>
          </w:tcPr>
          <w:p w14:paraId="053591A1" w14:textId="77777777" w:rsidR="007157A6" w:rsidRPr="007157A6" w:rsidRDefault="007157A6" w:rsidP="007157A6">
            <w:pPr>
              <w:rPr>
                <w:lang w:val="en-GB"/>
              </w:rPr>
            </w:pPr>
            <w:r w:rsidRPr="007157A6">
              <w:rPr>
                <w:lang w:val="en-GB"/>
              </w:rPr>
              <w:t xml:space="preserve">The Committee suggests disclosing a core set of (possibly sector-related) key performance indicators to increase the comparability of the sustainability performance of real economy companies irrespective of an audit of the materiality and/or the relevance to management (see section 289c (3) sentence 5 of the HGB). Additional sector-specific performance indicators could be developed on the basis of a handful of established standard indicators – such as CO2 emissions (Scope 1+2 and material Scope 3 carbon emissions), accident rates, death rates and other indicators which a multitude of companies already report – through multi-stakeholder processes. These would be reported on independently of the publication of required </w:t>
            </w:r>
            <w:proofErr w:type="spellStart"/>
            <w:r w:rsidRPr="007157A6">
              <w:rPr>
                <w:lang w:val="en-GB"/>
              </w:rPr>
              <w:t>NfE</w:t>
            </w:r>
            <w:proofErr w:type="spellEnd"/>
            <w:r w:rsidRPr="007157A6">
              <w:rPr>
                <w:lang w:val="en-GB"/>
              </w:rPr>
              <w:t xml:space="preserve"> disclosures (e.g. concepts, due diligence, risks and results). The requirements regarding the </w:t>
            </w:r>
            <w:proofErr w:type="spellStart"/>
            <w:r w:rsidRPr="007157A6">
              <w:rPr>
                <w:lang w:val="en-GB"/>
              </w:rPr>
              <w:t>NfE</w:t>
            </w:r>
            <w:proofErr w:type="spellEnd"/>
            <w:r w:rsidRPr="007157A6">
              <w:rPr>
                <w:lang w:val="en-GB"/>
              </w:rPr>
              <w:t xml:space="preserve"> set out in Art. 4d of the EU Taxonomy Regulation as to the future EU taxonomy, the share of revenue generated by sustainable economic activities as well as the share of capital expenditures and/or operational expenditures must also be considered.</w:t>
            </w:r>
          </w:p>
        </w:tc>
        <w:tc>
          <w:tcPr>
            <w:tcW w:w="3544" w:type="dxa"/>
          </w:tcPr>
          <w:p w14:paraId="732091BF" w14:textId="77777777" w:rsidR="007157A6" w:rsidRPr="007157A6" w:rsidRDefault="007157A6" w:rsidP="007157A6">
            <w:pPr>
              <w:rPr>
                <w:lang w:val="en-GB"/>
              </w:rPr>
            </w:pPr>
            <w:r w:rsidRPr="007157A6">
              <w:rPr>
                <w:lang w:val="en-GB"/>
              </w:rPr>
              <w:t>Will foster Sustainable Finance in Germany</w:t>
            </w:r>
          </w:p>
        </w:tc>
        <w:tc>
          <w:tcPr>
            <w:tcW w:w="418" w:type="dxa"/>
          </w:tcPr>
          <w:p w14:paraId="4384386F" w14:textId="77777777" w:rsidR="007157A6" w:rsidRPr="007157A6" w:rsidRDefault="007157A6" w:rsidP="007157A6">
            <w:pPr>
              <w:rPr>
                <w:lang w:val="en-GB"/>
              </w:rPr>
            </w:pPr>
          </w:p>
        </w:tc>
        <w:tc>
          <w:tcPr>
            <w:tcW w:w="418" w:type="dxa"/>
          </w:tcPr>
          <w:p w14:paraId="4275D177" w14:textId="77777777" w:rsidR="007157A6" w:rsidRPr="007157A6" w:rsidRDefault="007157A6" w:rsidP="007157A6">
            <w:pPr>
              <w:rPr>
                <w:lang w:val="en-GB"/>
              </w:rPr>
            </w:pPr>
          </w:p>
        </w:tc>
        <w:tc>
          <w:tcPr>
            <w:tcW w:w="418" w:type="dxa"/>
          </w:tcPr>
          <w:p w14:paraId="3CF1A596" w14:textId="77777777" w:rsidR="007157A6" w:rsidRPr="007157A6" w:rsidRDefault="007157A6" w:rsidP="007157A6">
            <w:pPr>
              <w:rPr>
                <w:lang w:val="en-GB"/>
              </w:rPr>
            </w:pPr>
          </w:p>
        </w:tc>
        <w:tc>
          <w:tcPr>
            <w:tcW w:w="418" w:type="dxa"/>
          </w:tcPr>
          <w:p w14:paraId="1D6A3FCA" w14:textId="77777777" w:rsidR="007157A6" w:rsidRPr="007157A6" w:rsidRDefault="007157A6" w:rsidP="007157A6">
            <w:pPr>
              <w:rPr>
                <w:lang w:val="en-GB"/>
              </w:rPr>
            </w:pPr>
          </w:p>
        </w:tc>
        <w:tc>
          <w:tcPr>
            <w:tcW w:w="419" w:type="dxa"/>
          </w:tcPr>
          <w:p w14:paraId="101DE920" w14:textId="77777777" w:rsidR="007157A6" w:rsidRPr="007157A6" w:rsidRDefault="007157A6" w:rsidP="007157A6">
            <w:pPr>
              <w:rPr>
                <w:lang w:val="en-GB"/>
              </w:rPr>
            </w:pPr>
          </w:p>
        </w:tc>
      </w:tr>
      <w:tr w:rsidR="007157A6" w:rsidRPr="007157A6" w14:paraId="68F5FF85" w14:textId="77777777" w:rsidTr="00C850ED">
        <w:trPr>
          <w:trHeight w:val="933"/>
        </w:trPr>
        <w:tc>
          <w:tcPr>
            <w:tcW w:w="8642" w:type="dxa"/>
            <w:vMerge/>
          </w:tcPr>
          <w:p w14:paraId="1C6ACF42" w14:textId="77777777" w:rsidR="007157A6" w:rsidRPr="007157A6" w:rsidRDefault="007157A6" w:rsidP="007157A6">
            <w:pPr>
              <w:rPr>
                <w:lang w:val="en-GB"/>
              </w:rPr>
            </w:pPr>
          </w:p>
        </w:tc>
        <w:tc>
          <w:tcPr>
            <w:tcW w:w="3544" w:type="dxa"/>
          </w:tcPr>
          <w:p w14:paraId="489DDAC9" w14:textId="77777777" w:rsidR="007157A6" w:rsidRPr="007157A6" w:rsidRDefault="007157A6" w:rsidP="007157A6">
            <w:pPr>
              <w:rPr>
                <w:lang w:val="en-GB"/>
              </w:rPr>
            </w:pPr>
            <w:r w:rsidRPr="007157A6">
              <w:rPr>
                <w:lang w:val="en-GB"/>
              </w:rPr>
              <w:t>Level of ambition</w:t>
            </w:r>
          </w:p>
        </w:tc>
        <w:tc>
          <w:tcPr>
            <w:tcW w:w="418" w:type="dxa"/>
          </w:tcPr>
          <w:p w14:paraId="6ADF399E" w14:textId="77777777" w:rsidR="007157A6" w:rsidRPr="007157A6" w:rsidRDefault="007157A6" w:rsidP="007157A6">
            <w:pPr>
              <w:rPr>
                <w:lang w:val="en-GB"/>
              </w:rPr>
            </w:pPr>
          </w:p>
        </w:tc>
        <w:tc>
          <w:tcPr>
            <w:tcW w:w="418" w:type="dxa"/>
          </w:tcPr>
          <w:p w14:paraId="10B2521F" w14:textId="77777777" w:rsidR="007157A6" w:rsidRPr="007157A6" w:rsidRDefault="007157A6" w:rsidP="007157A6">
            <w:pPr>
              <w:rPr>
                <w:lang w:val="en-GB"/>
              </w:rPr>
            </w:pPr>
          </w:p>
        </w:tc>
        <w:tc>
          <w:tcPr>
            <w:tcW w:w="418" w:type="dxa"/>
          </w:tcPr>
          <w:p w14:paraId="24051C25" w14:textId="77777777" w:rsidR="007157A6" w:rsidRPr="007157A6" w:rsidRDefault="007157A6" w:rsidP="007157A6">
            <w:pPr>
              <w:rPr>
                <w:lang w:val="en-GB"/>
              </w:rPr>
            </w:pPr>
          </w:p>
        </w:tc>
        <w:tc>
          <w:tcPr>
            <w:tcW w:w="418" w:type="dxa"/>
          </w:tcPr>
          <w:p w14:paraId="731589B6" w14:textId="77777777" w:rsidR="007157A6" w:rsidRPr="007157A6" w:rsidRDefault="007157A6" w:rsidP="007157A6">
            <w:pPr>
              <w:rPr>
                <w:lang w:val="en-GB"/>
              </w:rPr>
            </w:pPr>
          </w:p>
        </w:tc>
        <w:tc>
          <w:tcPr>
            <w:tcW w:w="419" w:type="dxa"/>
          </w:tcPr>
          <w:p w14:paraId="1C50F5E4" w14:textId="77777777" w:rsidR="007157A6" w:rsidRPr="007157A6" w:rsidRDefault="007157A6" w:rsidP="007157A6">
            <w:pPr>
              <w:rPr>
                <w:lang w:val="en-GB"/>
              </w:rPr>
            </w:pPr>
          </w:p>
        </w:tc>
      </w:tr>
      <w:tr w:rsidR="007157A6" w:rsidRPr="007157A6" w14:paraId="653E018B" w14:textId="77777777" w:rsidTr="00C850ED">
        <w:trPr>
          <w:trHeight w:val="932"/>
        </w:trPr>
        <w:tc>
          <w:tcPr>
            <w:tcW w:w="8642" w:type="dxa"/>
            <w:vMerge/>
          </w:tcPr>
          <w:p w14:paraId="40588D66" w14:textId="77777777" w:rsidR="007157A6" w:rsidRPr="007157A6" w:rsidRDefault="007157A6" w:rsidP="007157A6">
            <w:pPr>
              <w:rPr>
                <w:lang w:val="en-GB"/>
              </w:rPr>
            </w:pPr>
          </w:p>
        </w:tc>
        <w:tc>
          <w:tcPr>
            <w:tcW w:w="3544" w:type="dxa"/>
          </w:tcPr>
          <w:p w14:paraId="2035541A" w14:textId="77777777" w:rsidR="007157A6" w:rsidRPr="007157A6" w:rsidRDefault="007157A6" w:rsidP="007157A6">
            <w:pPr>
              <w:rPr>
                <w:lang w:val="en-GB"/>
              </w:rPr>
            </w:pPr>
            <w:r w:rsidRPr="007157A6">
              <w:rPr>
                <w:lang w:val="en-GB"/>
              </w:rPr>
              <w:t>Practicability</w:t>
            </w:r>
          </w:p>
        </w:tc>
        <w:tc>
          <w:tcPr>
            <w:tcW w:w="418" w:type="dxa"/>
          </w:tcPr>
          <w:p w14:paraId="38E83F50" w14:textId="77777777" w:rsidR="007157A6" w:rsidRPr="007157A6" w:rsidRDefault="007157A6" w:rsidP="007157A6">
            <w:pPr>
              <w:rPr>
                <w:lang w:val="en-GB"/>
              </w:rPr>
            </w:pPr>
          </w:p>
        </w:tc>
        <w:tc>
          <w:tcPr>
            <w:tcW w:w="418" w:type="dxa"/>
          </w:tcPr>
          <w:p w14:paraId="40D1C00C" w14:textId="77777777" w:rsidR="007157A6" w:rsidRPr="007157A6" w:rsidRDefault="007157A6" w:rsidP="007157A6">
            <w:pPr>
              <w:rPr>
                <w:lang w:val="en-GB"/>
              </w:rPr>
            </w:pPr>
          </w:p>
        </w:tc>
        <w:tc>
          <w:tcPr>
            <w:tcW w:w="418" w:type="dxa"/>
          </w:tcPr>
          <w:p w14:paraId="49C159FC" w14:textId="77777777" w:rsidR="007157A6" w:rsidRPr="007157A6" w:rsidRDefault="007157A6" w:rsidP="007157A6">
            <w:pPr>
              <w:rPr>
                <w:lang w:val="en-GB"/>
              </w:rPr>
            </w:pPr>
          </w:p>
        </w:tc>
        <w:tc>
          <w:tcPr>
            <w:tcW w:w="418" w:type="dxa"/>
          </w:tcPr>
          <w:p w14:paraId="19A5F948" w14:textId="77777777" w:rsidR="007157A6" w:rsidRPr="007157A6" w:rsidRDefault="007157A6" w:rsidP="007157A6">
            <w:pPr>
              <w:rPr>
                <w:lang w:val="en-GB"/>
              </w:rPr>
            </w:pPr>
          </w:p>
        </w:tc>
        <w:tc>
          <w:tcPr>
            <w:tcW w:w="419" w:type="dxa"/>
          </w:tcPr>
          <w:p w14:paraId="0F5905BE" w14:textId="77777777" w:rsidR="007157A6" w:rsidRPr="007157A6" w:rsidRDefault="007157A6" w:rsidP="007157A6">
            <w:pPr>
              <w:rPr>
                <w:lang w:val="en-GB"/>
              </w:rPr>
            </w:pPr>
          </w:p>
        </w:tc>
      </w:tr>
      <w:tr w:rsidR="007157A6" w:rsidRPr="007157A6" w14:paraId="3A4559BF" w14:textId="77777777" w:rsidTr="00C850ED">
        <w:trPr>
          <w:trHeight w:val="933"/>
        </w:trPr>
        <w:tc>
          <w:tcPr>
            <w:tcW w:w="8642" w:type="dxa"/>
            <w:vMerge/>
          </w:tcPr>
          <w:p w14:paraId="16CE2231" w14:textId="77777777" w:rsidR="007157A6" w:rsidRPr="007157A6" w:rsidRDefault="007157A6" w:rsidP="007157A6">
            <w:pPr>
              <w:rPr>
                <w:lang w:val="en-GB"/>
              </w:rPr>
            </w:pPr>
          </w:p>
        </w:tc>
        <w:tc>
          <w:tcPr>
            <w:tcW w:w="3544" w:type="dxa"/>
          </w:tcPr>
          <w:p w14:paraId="7D026C77"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1081A0C" w14:textId="77777777" w:rsidR="007157A6" w:rsidRPr="007157A6" w:rsidRDefault="007157A6" w:rsidP="007157A6">
            <w:pPr>
              <w:rPr>
                <w:lang w:val="en-GB"/>
              </w:rPr>
            </w:pPr>
          </w:p>
        </w:tc>
        <w:tc>
          <w:tcPr>
            <w:tcW w:w="418" w:type="dxa"/>
          </w:tcPr>
          <w:p w14:paraId="0EDC3247" w14:textId="77777777" w:rsidR="007157A6" w:rsidRPr="007157A6" w:rsidRDefault="007157A6" w:rsidP="007157A6">
            <w:pPr>
              <w:rPr>
                <w:lang w:val="en-GB"/>
              </w:rPr>
            </w:pPr>
          </w:p>
        </w:tc>
        <w:tc>
          <w:tcPr>
            <w:tcW w:w="418" w:type="dxa"/>
          </w:tcPr>
          <w:p w14:paraId="30818132" w14:textId="77777777" w:rsidR="007157A6" w:rsidRPr="007157A6" w:rsidRDefault="007157A6" w:rsidP="007157A6">
            <w:pPr>
              <w:rPr>
                <w:lang w:val="en-GB"/>
              </w:rPr>
            </w:pPr>
          </w:p>
        </w:tc>
        <w:tc>
          <w:tcPr>
            <w:tcW w:w="418" w:type="dxa"/>
          </w:tcPr>
          <w:p w14:paraId="734625DD" w14:textId="77777777" w:rsidR="007157A6" w:rsidRPr="007157A6" w:rsidRDefault="007157A6" w:rsidP="007157A6">
            <w:pPr>
              <w:rPr>
                <w:lang w:val="en-GB"/>
              </w:rPr>
            </w:pPr>
          </w:p>
        </w:tc>
        <w:tc>
          <w:tcPr>
            <w:tcW w:w="419" w:type="dxa"/>
          </w:tcPr>
          <w:p w14:paraId="65279328" w14:textId="77777777" w:rsidR="007157A6" w:rsidRPr="007157A6" w:rsidRDefault="007157A6" w:rsidP="007157A6">
            <w:pPr>
              <w:rPr>
                <w:lang w:val="en-GB"/>
              </w:rPr>
            </w:pPr>
          </w:p>
        </w:tc>
      </w:tr>
      <w:tr w:rsidR="007157A6" w:rsidRPr="007157A6" w14:paraId="09D2C002" w14:textId="77777777" w:rsidTr="00C850ED">
        <w:tc>
          <w:tcPr>
            <w:tcW w:w="8642" w:type="dxa"/>
            <w:shd w:val="clear" w:color="auto" w:fill="D9D9D9" w:themeFill="background1" w:themeFillShade="D9"/>
          </w:tcPr>
          <w:p w14:paraId="1190C3AA"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9AF0AF9"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4B44F7D4"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FE46625"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682F6305"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7CF69EE3"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C3A7622" w14:textId="77777777" w:rsidR="007157A6" w:rsidRPr="007157A6" w:rsidRDefault="007157A6" w:rsidP="007157A6">
            <w:pPr>
              <w:rPr>
                <w:lang w:val="en-GB"/>
              </w:rPr>
            </w:pPr>
            <w:r w:rsidRPr="007157A6">
              <w:rPr>
                <w:b/>
                <w:lang w:val="en-GB"/>
              </w:rPr>
              <w:t>1</w:t>
            </w:r>
          </w:p>
        </w:tc>
      </w:tr>
      <w:tr w:rsidR="007157A6" w:rsidRPr="007157A6" w14:paraId="0BF74130" w14:textId="77777777" w:rsidTr="00C850ED">
        <w:tc>
          <w:tcPr>
            <w:tcW w:w="8642" w:type="dxa"/>
            <w:vMerge w:val="restart"/>
          </w:tcPr>
          <w:p w14:paraId="751CD567" w14:textId="77777777" w:rsidR="007157A6" w:rsidRPr="007157A6" w:rsidRDefault="007157A6" w:rsidP="007157A6">
            <w:pPr>
              <w:rPr>
                <w:lang w:val="en-GB"/>
              </w:rPr>
            </w:pPr>
            <w:r w:rsidRPr="007157A6">
              <w:rPr>
                <w:lang w:val="en-GB"/>
              </w:rPr>
              <w:t>These performance indicators shall refer to historically relevant and current periods without resulting in inappropriate, additional disclosure costs. What is to be disclosed therefore are the relevant historical and current (actual) performance indicators. Furthermore, the underlying methods shall be established by an independent standard-setting body with the collaboration of the affected companies and other stakeholder groups (including German federal ministries).</w:t>
            </w:r>
          </w:p>
        </w:tc>
        <w:tc>
          <w:tcPr>
            <w:tcW w:w="3544" w:type="dxa"/>
          </w:tcPr>
          <w:p w14:paraId="6E33D7F6" w14:textId="77777777" w:rsidR="007157A6" w:rsidRPr="007157A6" w:rsidRDefault="007157A6" w:rsidP="007157A6">
            <w:pPr>
              <w:rPr>
                <w:lang w:val="en-GB"/>
              </w:rPr>
            </w:pPr>
            <w:r w:rsidRPr="007157A6">
              <w:rPr>
                <w:lang w:val="en-GB"/>
              </w:rPr>
              <w:t>Will foster Sustainable Finance in Germany</w:t>
            </w:r>
          </w:p>
        </w:tc>
        <w:tc>
          <w:tcPr>
            <w:tcW w:w="418" w:type="dxa"/>
          </w:tcPr>
          <w:p w14:paraId="55F0E8D5" w14:textId="77777777" w:rsidR="007157A6" w:rsidRPr="007157A6" w:rsidRDefault="007157A6" w:rsidP="007157A6">
            <w:pPr>
              <w:rPr>
                <w:lang w:val="en-GB"/>
              </w:rPr>
            </w:pPr>
          </w:p>
        </w:tc>
        <w:tc>
          <w:tcPr>
            <w:tcW w:w="418" w:type="dxa"/>
          </w:tcPr>
          <w:p w14:paraId="162125F2" w14:textId="77777777" w:rsidR="007157A6" w:rsidRPr="007157A6" w:rsidRDefault="007157A6" w:rsidP="007157A6">
            <w:pPr>
              <w:rPr>
                <w:lang w:val="en-GB"/>
              </w:rPr>
            </w:pPr>
          </w:p>
        </w:tc>
        <w:tc>
          <w:tcPr>
            <w:tcW w:w="418" w:type="dxa"/>
          </w:tcPr>
          <w:p w14:paraId="10B98457" w14:textId="77777777" w:rsidR="007157A6" w:rsidRPr="007157A6" w:rsidRDefault="007157A6" w:rsidP="007157A6">
            <w:pPr>
              <w:rPr>
                <w:lang w:val="en-GB"/>
              </w:rPr>
            </w:pPr>
          </w:p>
        </w:tc>
        <w:tc>
          <w:tcPr>
            <w:tcW w:w="418" w:type="dxa"/>
          </w:tcPr>
          <w:p w14:paraId="3816C5C3" w14:textId="77777777" w:rsidR="007157A6" w:rsidRPr="007157A6" w:rsidRDefault="007157A6" w:rsidP="007157A6">
            <w:pPr>
              <w:rPr>
                <w:lang w:val="en-GB"/>
              </w:rPr>
            </w:pPr>
          </w:p>
        </w:tc>
        <w:tc>
          <w:tcPr>
            <w:tcW w:w="419" w:type="dxa"/>
          </w:tcPr>
          <w:p w14:paraId="5CADA09B" w14:textId="77777777" w:rsidR="007157A6" w:rsidRPr="007157A6" w:rsidRDefault="007157A6" w:rsidP="007157A6">
            <w:pPr>
              <w:rPr>
                <w:lang w:val="en-GB"/>
              </w:rPr>
            </w:pPr>
          </w:p>
        </w:tc>
      </w:tr>
      <w:tr w:rsidR="007157A6" w:rsidRPr="007157A6" w14:paraId="52DCD125" w14:textId="77777777" w:rsidTr="00C850ED">
        <w:tc>
          <w:tcPr>
            <w:tcW w:w="8642" w:type="dxa"/>
            <w:vMerge/>
          </w:tcPr>
          <w:p w14:paraId="278C90FA" w14:textId="77777777" w:rsidR="007157A6" w:rsidRPr="007157A6" w:rsidRDefault="007157A6" w:rsidP="007157A6">
            <w:pPr>
              <w:rPr>
                <w:lang w:val="en-GB"/>
              </w:rPr>
            </w:pPr>
          </w:p>
        </w:tc>
        <w:tc>
          <w:tcPr>
            <w:tcW w:w="3544" w:type="dxa"/>
          </w:tcPr>
          <w:p w14:paraId="56A285AF" w14:textId="77777777" w:rsidR="007157A6" w:rsidRPr="007157A6" w:rsidRDefault="007157A6" w:rsidP="007157A6">
            <w:pPr>
              <w:rPr>
                <w:lang w:val="en-GB"/>
              </w:rPr>
            </w:pPr>
            <w:r w:rsidRPr="007157A6">
              <w:rPr>
                <w:lang w:val="en-GB"/>
              </w:rPr>
              <w:t>Level of ambition</w:t>
            </w:r>
          </w:p>
        </w:tc>
        <w:tc>
          <w:tcPr>
            <w:tcW w:w="418" w:type="dxa"/>
          </w:tcPr>
          <w:p w14:paraId="33EF73A0" w14:textId="77777777" w:rsidR="007157A6" w:rsidRPr="007157A6" w:rsidRDefault="007157A6" w:rsidP="007157A6">
            <w:pPr>
              <w:rPr>
                <w:lang w:val="en-GB"/>
              </w:rPr>
            </w:pPr>
          </w:p>
        </w:tc>
        <w:tc>
          <w:tcPr>
            <w:tcW w:w="418" w:type="dxa"/>
          </w:tcPr>
          <w:p w14:paraId="04338DEE" w14:textId="77777777" w:rsidR="007157A6" w:rsidRPr="007157A6" w:rsidRDefault="007157A6" w:rsidP="007157A6">
            <w:pPr>
              <w:rPr>
                <w:lang w:val="en-GB"/>
              </w:rPr>
            </w:pPr>
          </w:p>
        </w:tc>
        <w:tc>
          <w:tcPr>
            <w:tcW w:w="418" w:type="dxa"/>
          </w:tcPr>
          <w:p w14:paraId="48D89DE8" w14:textId="77777777" w:rsidR="007157A6" w:rsidRPr="007157A6" w:rsidRDefault="007157A6" w:rsidP="007157A6">
            <w:pPr>
              <w:rPr>
                <w:lang w:val="en-GB"/>
              </w:rPr>
            </w:pPr>
          </w:p>
        </w:tc>
        <w:tc>
          <w:tcPr>
            <w:tcW w:w="418" w:type="dxa"/>
          </w:tcPr>
          <w:p w14:paraId="392E9AD5" w14:textId="77777777" w:rsidR="007157A6" w:rsidRPr="007157A6" w:rsidRDefault="007157A6" w:rsidP="007157A6">
            <w:pPr>
              <w:rPr>
                <w:lang w:val="en-GB"/>
              </w:rPr>
            </w:pPr>
          </w:p>
        </w:tc>
        <w:tc>
          <w:tcPr>
            <w:tcW w:w="419" w:type="dxa"/>
          </w:tcPr>
          <w:p w14:paraId="4BF6B725" w14:textId="77777777" w:rsidR="007157A6" w:rsidRPr="007157A6" w:rsidRDefault="007157A6" w:rsidP="007157A6">
            <w:pPr>
              <w:rPr>
                <w:lang w:val="en-GB"/>
              </w:rPr>
            </w:pPr>
          </w:p>
        </w:tc>
      </w:tr>
      <w:tr w:rsidR="007157A6" w:rsidRPr="007157A6" w14:paraId="28518174" w14:textId="77777777" w:rsidTr="00C850ED">
        <w:tc>
          <w:tcPr>
            <w:tcW w:w="8642" w:type="dxa"/>
            <w:vMerge/>
          </w:tcPr>
          <w:p w14:paraId="7C5055F3" w14:textId="77777777" w:rsidR="007157A6" w:rsidRPr="007157A6" w:rsidRDefault="007157A6" w:rsidP="007157A6">
            <w:pPr>
              <w:rPr>
                <w:lang w:val="en-GB"/>
              </w:rPr>
            </w:pPr>
          </w:p>
        </w:tc>
        <w:tc>
          <w:tcPr>
            <w:tcW w:w="3544" w:type="dxa"/>
          </w:tcPr>
          <w:p w14:paraId="30FE3F7E" w14:textId="77777777" w:rsidR="007157A6" w:rsidRPr="007157A6" w:rsidRDefault="007157A6" w:rsidP="007157A6">
            <w:pPr>
              <w:rPr>
                <w:lang w:val="en-GB"/>
              </w:rPr>
            </w:pPr>
            <w:r w:rsidRPr="007157A6">
              <w:rPr>
                <w:lang w:val="en-GB"/>
              </w:rPr>
              <w:t>Practicability</w:t>
            </w:r>
          </w:p>
        </w:tc>
        <w:tc>
          <w:tcPr>
            <w:tcW w:w="418" w:type="dxa"/>
          </w:tcPr>
          <w:p w14:paraId="24D69420" w14:textId="77777777" w:rsidR="007157A6" w:rsidRPr="007157A6" w:rsidRDefault="007157A6" w:rsidP="007157A6">
            <w:pPr>
              <w:rPr>
                <w:lang w:val="en-GB"/>
              </w:rPr>
            </w:pPr>
          </w:p>
        </w:tc>
        <w:tc>
          <w:tcPr>
            <w:tcW w:w="418" w:type="dxa"/>
          </w:tcPr>
          <w:p w14:paraId="56FD50D0" w14:textId="77777777" w:rsidR="007157A6" w:rsidRPr="007157A6" w:rsidRDefault="007157A6" w:rsidP="007157A6">
            <w:pPr>
              <w:rPr>
                <w:lang w:val="en-GB"/>
              </w:rPr>
            </w:pPr>
          </w:p>
        </w:tc>
        <w:tc>
          <w:tcPr>
            <w:tcW w:w="418" w:type="dxa"/>
          </w:tcPr>
          <w:p w14:paraId="4F121673" w14:textId="77777777" w:rsidR="007157A6" w:rsidRPr="007157A6" w:rsidRDefault="007157A6" w:rsidP="007157A6">
            <w:pPr>
              <w:rPr>
                <w:lang w:val="en-GB"/>
              </w:rPr>
            </w:pPr>
          </w:p>
        </w:tc>
        <w:tc>
          <w:tcPr>
            <w:tcW w:w="418" w:type="dxa"/>
          </w:tcPr>
          <w:p w14:paraId="03F42049" w14:textId="77777777" w:rsidR="007157A6" w:rsidRPr="007157A6" w:rsidRDefault="007157A6" w:rsidP="007157A6">
            <w:pPr>
              <w:rPr>
                <w:lang w:val="en-GB"/>
              </w:rPr>
            </w:pPr>
          </w:p>
        </w:tc>
        <w:tc>
          <w:tcPr>
            <w:tcW w:w="419" w:type="dxa"/>
          </w:tcPr>
          <w:p w14:paraId="47873037" w14:textId="77777777" w:rsidR="007157A6" w:rsidRPr="007157A6" w:rsidRDefault="007157A6" w:rsidP="007157A6">
            <w:pPr>
              <w:rPr>
                <w:lang w:val="en-GB"/>
              </w:rPr>
            </w:pPr>
          </w:p>
        </w:tc>
      </w:tr>
      <w:tr w:rsidR="007157A6" w:rsidRPr="007157A6" w14:paraId="179765E2" w14:textId="77777777" w:rsidTr="00C850ED">
        <w:tc>
          <w:tcPr>
            <w:tcW w:w="8642" w:type="dxa"/>
            <w:vMerge/>
          </w:tcPr>
          <w:p w14:paraId="59DFFFF4" w14:textId="77777777" w:rsidR="007157A6" w:rsidRPr="007157A6" w:rsidRDefault="007157A6" w:rsidP="007157A6">
            <w:pPr>
              <w:rPr>
                <w:lang w:val="en-GB"/>
              </w:rPr>
            </w:pPr>
          </w:p>
        </w:tc>
        <w:tc>
          <w:tcPr>
            <w:tcW w:w="3544" w:type="dxa"/>
          </w:tcPr>
          <w:p w14:paraId="016B120E"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03A05178" w14:textId="77777777" w:rsidR="007157A6" w:rsidRPr="007157A6" w:rsidRDefault="007157A6" w:rsidP="007157A6">
            <w:pPr>
              <w:rPr>
                <w:lang w:val="en-GB"/>
              </w:rPr>
            </w:pPr>
          </w:p>
        </w:tc>
        <w:tc>
          <w:tcPr>
            <w:tcW w:w="418" w:type="dxa"/>
          </w:tcPr>
          <w:p w14:paraId="38622CC8" w14:textId="77777777" w:rsidR="007157A6" w:rsidRPr="007157A6" w:rsidRDefault="007157A6" w:rsidP="007157A6">
            <w:pPr>
              <w:rPr>
                <w:lang w:val="en-GB"/>
              </w:rPr>
            </w:pPr>
          </w:p>
        </w:tc>
        <w:tc>
          <w:tcPr>
            <w:tcW w:w="418" w:type="dxa"/>
          </w:tcPr>
          <w:p w14:paraId="295CBEDF" w14:textId="77777777" w:rsidR="007157A6" w:rsidRPr="007157A6" w:rsidRDefault="007157A6" w:rsidP="007157A6">
            <w:pPr>
              <w:rPr>
                <w:lang w:val="en-GB"/>
              </w:rPr>
            </w:pPr>
          </w:p>
        </w:tc>
        <w:tc>
          <w:tcPr>
            <w:tcW w:w="418" w:type="dxa"/>
          </w:tcPr>
          <w:p w14:paraId="66132CCD" w14:textId="77777777" w:rsidR="007157A6" w:rsidRPr="007157A6" w:rsidRDefault="007157A6" w:rsidP="007157A6">
            <w:pPr>
              <w:rPr>
                <w:lang w:val="en-GB"/>
              </w:rPr>
            </w:pPr>
          </w:p>
        </w:tc>
        <w:tc>
          <w:tcPr>
            <w:tcW w:w="419" w:type="dxa"/>
          </w:tcPr>
          <w:p w14:paraId="08AAB2BB" w14:textId="77777777" w:rsidR="007157A6" w:rsidRPr="007157A6" w:rsidRDefault="007157A6" w:rsidP="007157A6">
            <w:pPr>
              <w:rPr>
                <w:lang w:val="en-GB"/>
              </w:rPr>
            </w:pPr>
          </w:p>
        </w:tc>
      </w:tr>
      <w:tr w:rsidR="007157A6" w:rsidRPr="007157A6" w14:paraId="6AA14087" w14:textId="77777777" w:rsidTr="00C850ED">
        <w:tc>
          <w:tcPr>
            <w:tcW w:w="8642" w:type="dxa"/>
            <w:shd w:val="clear" w:color="auto" w:fill="D9D9D9" w:themeFill="background1" w:themeFillShade="D9"/>
          </w:tcPr>
          <w:p w14:paraId="262C608D"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0F80C5B6"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5A2D8B57"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20477999"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7110B91F"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299AD299"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338E06A2" w14:textId="77777777" w:rsidR="007157A6" w:rsidRPr="007157A6" w:rsidRDefault="007157A6" w:rsidP="007157A6">
            <w:pPr>
              <w:rPr>
                <w:b/>
                <w:lang w:val="en-GB"/>
              </w:rPr>
            </w:pPr>
            <w:r w:rsidRPr="007157A6">
              <w:rPr>
                <w:b/>
                <w:lang w:val="en-GB"/>
              </w:rPr>
              <w:t>1</w:t>
            </w:r>
          </w:p>
        </w:tc>
      </w:tr>
      <w:tr w:rsidR="007157A6" w:rsidRPr="007157A6" w14:paraId="541C5BD7" w14:textId="77777777" w:rsidTr="00C850ED">
        <w:trPr>
          <w:trHeight w:val="537"/>
        </w:trPr>
        <w:tc>
          <w:tcPr>
            <w:tcW w:w="8642" w:type="dxa"/>
            <w:vMerge w:val="restart"/>
          </w:tcPr>
          <w:p w14:paraId="4735666A" w14:textId="77777777" w:rsidR="007157A6" w:rsidRPr="007157A6" w:rsidRDefault="007157A6" w:rsidP="007157A6">
            <w:pPr>
              <w:rPr>
                <w:lang w:val="en-GB"/>
              </w:rPr>
            </w:pPr>
            <w:r w:rsidRPr="007157A6">
              <w:rPr>
                <w:lang w:val="en-GB"/>
              </w:rPr>
              <w:t xml:space="preserve">When determining the indicators, it needs to be ensured that their number is as small as possible for them to remain manageable. A – possibly binding – “comply or explain” requirement could be introduced for companies in sectors exposed to high sustainability risks and opportunities. Subsequently, companies could continue to decide themselves (so-called </w:t>
            </w:r>
            <w:r w:rsidRPr="007157A6">
              <w:rPr>
                <w:lang w:val="en-GB"/>
              </w:rPr>
              <w:lastRenderedPageBreak/>
              <w:t>management approach) as to what sustainability risks to report or potentially face relevant obligations. Companies exposed to high sustainability risks should be required by definition, however, to explain why they choose not to make particular disclosures.</w:t>
            </w:r>
          </w:p>
        </w:tc>
        <w:tc>
          <w:tcPr>
            <w:tcW w:w="3544" w:type="dxa"/>
          </w:tcPr>
          <w:p w14:paraId="66A6D582"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2959D6BC" w14:textId="77777777" w:rsidR="007157A6" w:rsidRPr="007157A6" w:rsidRDefault="007157A6" w:rsidP="007157A6">
            <w:pPr>
              <w:rPr>
                <w:lang w:val="en-GB"/>
              </w:rPr>
            </w:pPr>
          </w:p>
        </w:tc>
        <w:tc>
          <w:tcPr>
            <w:tcW w:w="418" w:type="dxa"/>
          </w:tcPr>
          <w:p w14:paraId="768FC375" w14:textId="77777777" w:rsidR="007157A6" w:rsidRPr="007157A6" w:rsidRDefault="007157A6" w:rsidP="007157A6">
            <w:pPr>
              <w:rPr>
                <w:lang w:val="en-GB"/>
              </w:rPr>
            </w:pPr>
          </w:p>
        </w:tc>
        <w:tc>
          <w:tcPr>
            <w:tcW w:w="418" w:type="dxa"/>
          </w:tcPr>
          <w:p w14:paraId="044A658E" w14:textId="77777777" w:rsidR="007157A6" w:rsidRPr="007157A6" w:rsidRDefault="007157A6" w:rsidP="007157A6">
            <w:pPr>
              <w:rPr>
                <w:lang w:val="en-GB"/>
              </w:rPr>
            </w:pPr>
          </w:p>
        </w:tc>
        <w:tc>
          <w:tcPr>
            <w:tcW w:w="418" w:type="dxa"/>
          </w:tcPr>
          <w:p w14:paraId="3526AA6A" w14:textId="77777777" w:rsidR="007157A6" w:rsidRPr="007157A6" w:rsidRDefault="007157A6" w:rsidP="007157A6">
            <w:pPr>
              <w:rPr>
                <w:lang w:val="en-GB"/>
              </w:rPr>
            </w:pPr>
          </w:p>
        </w:tc>
        <w:tc>
          <w:tcPr>
            <w:tcW w:w="419" w:type="dxa"/>
          </w:tcPr>
          <w:p w14:paraId="27647655" w14:textId="77777777" w:rsidR="007157A6" w:rsidRPr="007157A6" w:rsidRDefault="007157A6" w:rsidP="007157A6">
            <w:pPr>
              <w:rPr>
                <w:lang w:val="en-GB"/>
              </w:rPr>
            </w:pPr>
          </w:p>
        </w:tc>
      </w:tr>
      <w:tr w:rsidR="007157A6" w:rsidRPr="007157A6" w14:paraId="19E96744" w14:textId="77777777" w:rsidTr="00C850ED">
        <w:trPr>
          <w:trHeight w:val="537"/>
        </w:trPr>
        <w:tc>
          <w:tcPr>
            <w:tcW w:w="8642" w:type="dxa"/>
            <w:vMerge/>
          </w:tcPr>
          <w:p w14:paraId="5EFC3373" w14:textId="77777777" w:rsidR="007157A6" w:rsidRPr="007157A6" w:rsidRDefault="007157A6" w:rsidP="007157A6">
            <w:pPr>
              <w:rPr>
                <w:lang w:val="en-GB"/>
              </w:rPr>
            </w:pPr>
          </w:p>
        </w:tc>
        <w:tc>
          <w:tcPr>
            <w:tcW w:w="3544" w:type="dxa"/>
          </w:tcPr>
          <w:p w14:paraId="0C4EB5A5" w14:textId="77777777" w:rsidR="007157A6" w:rsidRPr="007157A6" w:rsidRDefault="007157A6" w:rsidP="007157A6">
            <w:pPr>
              <w:rPr>
                <w:lang w:val="en-GB"/>
              </w:rPr>
            </w:pPr>
            <w:r w:rsidRPr="007157A6">
              <w:rPr>
                <w:lang w:val="en-GB"/>
              </w:rPr>
              <w:t>Level of ambition</w:t>
            </w:r>
          </w:p>
        </w:tc>
        <w:tc>
          <w:tcPr>
            <w:tcW w:w="418" w:type="dxa"/>
          </w:tcPr>
          <w:p w14:paraId="429B3FE0" w14:textId="77777777" w:rsidR="007157A6" w:rsidRPr="007157A6" w:rsidRDefault="007157A6" w:rsidP="007157A6">
            <w:pPr>
              <w:rPr>
                <w:lang w:val="en-GB"/>
              </w:rPr>
            </w:pPr>
          </w:p>
        </w:tc>
        <w:tc>
          <w:tcPr>
            <w:tcW w:w="418" w:type="dxa"/>
          </w:tcPr>
          <w:p w14:paraId="58EE5269" w14:textId="77777777" w:rsidR="007157A6" w:rsidRPr="007157A6" w:rsidRDefault="007157A6" w:rsidP="007157A6">
            <w:pPr>
              <w:rPr>
                <w:lang w:val="en-GB"/>
              </w:rPr>
            </w:pPr>
          </w:p>
        </w:tc>
        <w:tc>
          <w:tcPr>
            <w:tcW w:w="418" w:type="dxa"/>
          </w:tcPr>
          <w:p w14:paraId="49DC5E69" w14:textId="77777777" w:rsidR="007157A6" w:rsidRPr="007157A6" w:rsidRDefault="007157A6" w:rsidP="007157A6">
            <w:pPr>
              <w:rPr>
                <w:lang w:val="en-GB"/>
              </w:rPr>
            </w:pPr>
          </w:p>
        </w:tc>
        <w:tc>
          <w:tcPr>
            <w:tcW w:w="418" w:type="dxa"/>
          </w:tcPr>
          <w:p w14:paraId="261EBAF0" w14:textId="77777777" w:rsidR="007157A6" w:rsidRPr="007157A6" w:rsidRDefault="007157A6" w:rsidP="007157A6">
            <w:pPr>
              <w:rPr>
                <w:lang w:val="en-GB"/>
              </w:rPr>
            </w:pPr>
          </w:p>
        </w:tc>
        <w:tc>
          <w:tcPr>
            <w:tcW w:w="419" w:type="dxa"/>
          </w:tcPr>
          <w:p w14:paraId="03F64609" w14:textId="77777777" w:rsidR="007157A6" w:rsidRPr="007157A6" w:rsidRDefault="007157A6" w:rsidP="007157A6">
            <w:pPr>
              <w:rPr>
                <w:lang w:val="en-GB"/>
              </w:rPr>
            </w:pPr>
          </w:p>
        </w:tc>
      </w:tr>
      <w:tr w:rsidR="007157A6" w:rsidRPr="007157A6" w14:paraId="487FBB1C" w14:textId="77777777" w:rsidTr="00C850ED">
        <w:trPr>
          <w:trHeight w:val="537"/>
        </w:trPr>
        <w:tc>
          <w:tcPr>
            <w:tcW w:w="8642" w:type="dxa"/>
            <w:vMerge/>
          </w:tcPr>
          <w:p w14:paraId="2A2B64AF" w14:textId="77777777" w:rsidR="007157A6" w:rsidRPr="007157A6" w:rsidRDefault="007157A6" w:rsidP="007157A6">
            <w:pPr>
              <w:rPr>
                <w:lang w:val="en-GB"/>
              </w:rPr>
            </w:pPr>
          </w:p>
        </w:tc>
        <w:tc>
          <w:tcPr>
            <w:tcW w:w="3544" w:type="dxa"/>
          </w:tcPr>
          <w:p w14:paraId="5DC26444" w14:textId="77777777" w:rsidR="007157A6" w:rsidRPr="007157A6" w:rsidRDefault="007157A6" w:rsidP="007157A6">
            <w:pPr>
              <w:rPr>
                <w:lang w:val="en-GB"/>
              </w:rPr>
            </w:pPr>
            <w:r w:rsidRPr="007157A6">
              <w:rPr>
                <w:lang w:val="en-GB"/>
              </w:rPr>
              <w:t>Practicability</w:t>
            </w:r>
          </w:p>
        </w:tc>
        <w:tc>
          <w:tcPr>
            <w:tcW w:w="418" w:type="dxa"/>
          </w:tcPr>
          <w:p w14:paraId="058D649D" w14:textId="77777777" w:rsidR="007157A6" w:rsidRPr="007157A6" w:rsidRDefault="007157A6" w:rsidP="007157A6">
            <w:pPr>
              <w:rPr>
                <w:lang w:val="en-GB"/>
              </w:rPr>
            </w:pPr>
          </w:p>
        </w:tc>
        <w:tc>
          <w:tcPr>
            <w:tcW w:w="418" w:type="dxa"/>
          </w:tcPr>
          <w:p w14:paraId="1C59A1B2" w14:textId="77777777" w:rsidR="007157A6" w:rsidRPr="007157A6" w:rsidRDefault="007157A6" w:rsidP="007157A6">
            <w:pPr>
              <w:rPr>
                <w:lang w:val="en-GB"/>
              </w:rPr>
            </w:pPr>
          </w:p>
        </w:tc>
        <w:tc>
          <w:tcPr>
            <w:tcW w:w="418" w:type="dxa"/>
          </w:tcPr>
          <w:p w14:paraId="359CE828" w14:textId="77777777" w:rsidR="007157A6" w:rsidRPr="007157A6" w:rsidRDefault="007157A6" w:rsidP="007157A6">
            <w:pPr>
              <w:rPr>
                <w:lang w:val="en-GB"/>
              </w:rPr>
            </w:pPr>
          </w:p>
        </w:tc>
        <w:tc>
          <w:tcPr>
            <w:tcW w:w="418" w:type="dxa"/>
          </w:tcPr>
          <w:p w14:paraId="5F830CBD" w14:textId="77777777" w:rsidR="007157A6" w:rsidRPr="007157A6" w:rsidRDefault="007157A6" w:rsidP="007157A6">
            <w:pPr>
              <w:rPr>
                <w:lang w:val="en-GB"/>
              </w:rPr>
            </w:pPr>
          </w:p>
        </w:tc>
        <w:tc>
          <w:tcPr>
            <w:tcW w:w="419" w:type="dxa"/>
          </w:tcPr>
          <w:p w14:paraId="418C9011" w14:textId="77777777" w:rsidR="007157A6" w:rsidRPr="007157A6" w:rsidRDefault="007157A6" w:rsidP="007157A6">
            <w:pPr>
              <w:rPr>
                <w:lang w:val="en-GB"/>
              </w:rPr>
            </w:pPr>
          </w:p>
        </w:tc>
      </w:tr>
      <w:tr w:rsidR="007157A6" w:rsidRPr="007157A6" w14:paraId="0400A732" w14:textId="77777777" w:rsidTr="00C850ED">
        <w:trPr>
          <w:trHeight w:val="537"/>
        </w:trPr>
        <w:tc>
          <w:tcPr>
            <w:tcW w:w="8642" w:type="dxa"/>
            <w:vMerge/>
          </w:tcPr>
          <w:p w14:paraId="673A0054" w14:textId="77777777" w:rsidR="007157A6" w:rsidRPr="007157A6" w:rsidRDefault="007157A6" w:rsidP="007157A6">
            <w:pPr>
              <w:rPr>
                <w:lang w:val="en-GB"/>
              </w:rPr>
            </w:pPr>
          </w:p>
        </w:tc>
        <w:tc>
          <w:tcPr>
            <w:tcW w:w="3544" w:type="dxa"/>
          </w:tcPr>
          <w:p w14:paraId="372B8A95"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C703778" w14:textId="77777777" w:rsidR="007157A6" w:rsidRPr="007157A6" w:rsidRDefault="007157A6" w:rsidP="007157A6">
            <w:pPr>
              <w:rPr>
                <w:lang w:val="en-GB"/>
              </w:rPr>
            </w:pPr>
          </w:p>
        </w:tc>
        <w:tc>
          <w:tcPr>
            <w:tcW w:w="418" w:type="dxa"/>
          </w:tcPr>
          <w:p w14:paraId="180CB90F" w14:textId="77777777" w:rsidR="007157A6" w:rsidRPr="007157A6" w:rsidRDefault="007157A6" w:rsidP="007157A6">
            <w:pPr>
              <w:rPr>
                <w:lang w:val="en-GB"/>
              </w:rPr>
            </w:pPr>
          </w:p>
        </w:tc>
        <w:tc>
          <w:tcPr>
            <w:tcW w:w="418" w:type="dxa"/>
          </w:tcPr>
          <w:p w14:paraId="3B242C59" w14:textId="77777777" w:rsidR="007157A6" w:rsidRPr="007157A6" w:rsidRDefault="007157A6" w:rsidP="007157A6">
            <w:pPr>
              <w:rPr>
                <w:lang w:val="en-GB"/>
              </w:rPr>
            </w:pPr>
          </w:p>
        </w:tc>
        <w:tc>
          <w:tcPr>
            <w:tcW w:w="418" w:type="dxa"/>
          </w:tcPr>
          <w:p w14:paraId="75C61923" w14:textId="77777777" w:rsidR="007157A6" w:rsidRPr="007157A6" w:rsidRDefault="007157A6" w:rsidP="007157A6">
            <w:pPr>
              <w:rPr>
                <w:lang w:val="en-GB"/>
              </w:rPr>
            </w:pPr>
          </w:p>
        </w:tc>
        <w:tc>
          <w:tcPr>
            <w:tcW w:w="419" w:type="dxa"/>
          </w:tcPr>
          <w:p w14:paraId="4BBF4681" w14:textId="77777777" w:rsidR="007157A6" w:rsidRPr="007157A6" w:rsidRDefault="007157A6" w:rsidP="007157A6">
            <w:pPr>
              <w:rPr>
                <w:lang w:val="en-GB"/>
              </w:rPr>
            </w:pPr>
          </w:p>
        </w:tc>
      </w:tr>
      <w:tr w:rsidR="007157A6" w:rsidRPr="007157A6" w14:paraId="1006DD54" w14:textId="77777777" w:rsidTr="00C850ED">
        <w:tc>
          <w:tcPr>
            <w:tcW w:w="8642" w:type="dxa"/>
            <w:shd w:val="clear" w:color="auto" w:fill="D9D9D9" w:themeFill="background1" w:themeFillShade="D9"/>
          </w:tcPr>
          <w:p w14:paraId="281AE4F5"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ACE62E5"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4AB4C781"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14567150"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5345CE8C"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811AB73"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8EB2569" w14:textId="77777777" w:rsidR="007157A6" w:rsidRPr="007157A6" w:rsidRDefault="007157A6" w:rsidP="007157A6">
            <w:pPr>
              <w:rPr>
                <w:lang w:val="en-GB"/>
              </w:rPr>
            </w:pPr>
            <w:r w:rsidRPr="007157A6">
              <w:rPr>
                <w:b/>
                <w:lang w:val="en-GB"/>
              </w:rPr>
              <w:t>1</w:t>
            </w:r>
          </w:p>
        </w:tc>
      </w:tr>
      <w:tr w:rsidR="007157A6" w:rsidRPr="007157A6" w14:paraId="4099F439" w14:textId="77777777" w:rsidTr="00C850ED">
        <w:trPr>
          <w:trHeight w:val="1066"/>
        </w:trPr>
        <w:tc>
          <w:tcPr>
            <w:tcW w:w="8642" w:type="dxa"/>
            <w:vMerge w:val="restart"/>
          </w:tcPr>
          <w:p w14:paraId="72658B1F" w14:textId="77777777" w:rsidR="007157A6" w:rsidRPr="007157A6" w:rsidRDefault="007157A6" w:rsidP="007157A6">
            <w:pPr>
              <w:rPr>
                <w:lang w:val="en-GB"/>
              </w:rPr>
            </w:pPr>
            <w:r w:rsidRPr="007157A6">
              <w:rPr>
                <w:lang w:val="en-GB"/>
              </w:rPr>
              <w:t>Expanding the reporting to include forward-looking sustainability data is an important prerequisite for improved assessments of the risks and opportunities associated with the future viability of companies and their external effects on the environment. This is to be accomplished incrementally by expanding the obligation to report forward-looking information, especially on the influence and impact of climate change and other aspects of sustainable development, covering a medium and a long-term period based on a plausible methodology.  In the beginning, this would include mainly qualitative information which, however, would have to be supplemented by quantitative information in the medium term. Given the urgency of achieving the EU climate goals, the quantitative, forward-looking performance indicators enumerated in the Guidelines of the EU Commission on the reporting of non-financial information  could already be included in the reporting obligation in the near term. In addition, the disclosure of forward-looking indicators based on Art. 4d of the EU Taxonomy Regulation, specifically, the disclosures on capital expenditures by the reporting entities is to be supported.</w:t>
            </w:r>
          </w:p>
        </w:tc>
        <w:tc>
          <w:tcPr>
            <w:tcW w:w="3544" w:type="dxa"/>
          </w:tcPr>
          <w:p w14:paraId="3C971986" w14:textId="77777777" w:rsidR="007157A6" w:rsidRPr="007157A6" w:rsidRDefault="007157A6" w:rsidP="007157A6">
            <w:pPr>
              <w:rPr>
                <w:lang w:val="en-GB"/>
              </w:rPr>
            </w:pPr>
            <w:r w:rsidRPr="007157A6">
              <w:rPr>
                <w:lang w:val="en-GB"/>
              </w:rPr>
              <w:t>Will foster Sustainable Finance in Germany</w:t>
            </w:r>
          </w:p>
        </w:tc>
        <w:tc>
          <w:tcPr>
            <w:tcW w:w="418" w:type="dxa"/>
          </w:tcPr>
          <w:p w14:paraId="0BBB0DDD" w14:textId="77777777" w:rsidR="007157A6" w:rsidRPr="007157A6" w:rsidRDefault="007157A6" w:rsidP="007157A6">
            <w:pPr>
              <w:rPr>
                <w:lang w:val="en-GB"/>
              </w:rPr>
            </w:pPr>
          </w:p>
        </w:tc>
        <w:tc>
          <w:tcPr>
            <w:tcW w:w="418" w:type="dxa"/>
          </w:tcPr>
          <w:p w14:paraId="220F8525" w14:textId="77777777" w:rsidR="007157A6" w:rsidRPr="007157A6" w:rsidRDefault="007157A6" w:rsidP="007157A6">
            <w:pPr>
              <w:rPr>
                <w:lang w:val="en-GB"/>
              </w:rPr>
            </w:pPr>
          </w:p>
        </w:tc>
        <w:tc>
          <w:tcPr>
            <w:tcW w:w="418" w:type="dxa"/>
          </w:tcPr>
          <w:p w14:paraId="48739636" w14:textId="77777777" w:rsidR="007157A6" w:rsidRPr="007157A6" w:rsidRDefault="007157A6" w:rsidP="007157A6">
            <w:pPr>
              <w:rPr>
                <w:lang w:val="en-GB"/>
              </w:rPr>
            </w:pPr>
          </w:p>
        </w:tc>
        <w:tc>
          <w:tcPr>
            <w:tcW w:w="418" w:type="dxa"/>
          </w:tcPr>
          <w:p w14:paraId="1556712F" w14:textId="77777777" w:rsidR="007157A6" w:rsidRPr="007157A6" w:rsidRDefault="007157A6" w:rsidP="007157A6">
            <w:pPr>
              <w:rPr>
                <w:lang w:val="en-GB"/>
              </w:rPr>
            </w:pPr>
          </w:p>
        </w:tc>
        <w:tc>
          <w:tcPr>
            <w:tcW w:w="419" w:type="dxa"/>
          </w:tcPr>
          <w:p w14:paraId="3040CA34" w14:textId="77777777" w:rsidR="007157A6" w:rsidRPr="007157A6" w:rsidRDefault="007157A6" w:rsidP="007157A6">
            <w:pPr>
              <w:rPr>
                <w:lang w:val="en-GB"/>
              </w:rPr>
            </w:pPr>
          </w:p>
        </w:tc>
      </w:tr>
      <w:tr w:rsidR="007157A6" w:rsidRPr="007157A6" w14:paraId="0FC495C8" w14:textId="77777777" w:rsidTr="00C850ED">
        <w:trPr>
          <w:trHeight w:val="1067"/>
        </w:trPr>
        <w:tc>
          <w:tcPr>
            <w:tcW w:w="8642" w:type="dxa"/>
            <w:vMerge/>
          </w:tcPr>
          <w:p w14:paraId="6D3B058C" w14:textId="77777777" w:rsidR="007157A6" w:rsidRPr="007157A6" w:rsidRDefault="007157A6" w:rsidP="007157A6">
            <w:pPr>
              <w:rPr>
                <w:lang w:val="en-GB"/>
              </w:rPr>
            </w:pPr>
          </w:p>
        </w:tc>
        <w:tc>
          <w:tcPr>
            <w:tcW w:w="3544" w:type="dxa"/>
          </w:tcPr>
          <w:p w14:paraId="0C50B9B5" w14:textId="77777777" w:rsidR="007157A6" w:rsidRPr="007157A6" w:rsidRDefault="007157A6" w:rsidP="007157A6">
            <w:pPr>
              <w:rPr>
                <w:lang w:val="en-GB"/>
              </w:rPr>
            </w:pPr>
            <w:r w:rsidRPr="007157A6">
              <w:rPr>
                <w:lang w:val="en-GB"/>
              </w:rPr>
              <w:t>Level of ambition</w:t>
            </w:r>
          </w:p>
        </w:tc>
        <w:tc>
          <w:tcPr>
            <w:tcW w:w="418" w:type="dxa"/>
          </w:tcPr>
          <w:p w14:paraId="0FF11353" w14:textId="77777777" w:rsidR="007157A6" w:rsidRPr="007157A6" w:rsidRDefault="007157A6" w:rsidP="007157A6">
            <w:pPr>
              <w:rPr>
                <w:lang w:val="en-GB"/>
              </w:rPr>
            </w:pPr>
          </w:p>
        </w:tc>
        <w:tc>
          <w:tcPr>
            <w:tcW w:w="418" w:type="dxa"/>
          </w:tcPr>
          <w:p w14:paraId="2E7EFDF7" w14:textId="77777777" w:rsidR="007157A6" w:rsidRPr="007157A6" w:rsidRDefault="007157A6" w:rsidP="007157A6">
            <w:pPr>
              <w:rPr>
                <w:lang w:val="en-GB"/>
              </w:rPr>
            </w:pPr>
          </w:p>
        </w:tc>
        <w:tc>
          <w:tcPr>
            <w:tcW w:w="418" w:type="dxa"/>
          </w:tcPr>
          <w:p w14:paraId="58E1CA04" w14:textId="77777777" w:rsidR="007157A6" w:rsidRPr="007157A6" w:rsidRDefault="007157A6" w:rsidP="007157A6">
            <w:pPr>
              <w:rPr>
                <w:lang w:val="en-GB"/>
              </w:rPr>
            </w:pPr>
          </w:p>
        </w:tc>
        <w:tc>
          <w:tcPr>
            <w:tcW w:w="418" w:type="dxa"/>
          </w:tcPr>
          <w:p w14:paraId="690FDAC2" w14:textId="77777777" w:rsidR="007157A6" w:rsidRPr="007157A6" w:rsidRDefault="007157A6" w:rsidP="007157A6">
            <w:pPr>
              <w:rPr>
                <w:lang w:val="en-GB"/>
              </w:rPr>
            </w:pPr>
          </w:p>
        </w:tc>
        <w:tc>
          <w:tcPr>
            <w:tcW w:w="419" w:type="dxa"/>
          </w:tcPr>
          <w:p w14:paraId="2048467B" w14:textId="77777777" w:rsidR="007157A6" w:rsidRPr="007157A6" w:rsidRDefault="007157A6" w:rsidP="007157A6">
            <w:pPr>
              <w:rPr>
                <w:lang w:val="en-GB"/>
              </w:rPr>
            </w:pPr>
          </w:p>
        </w:tc>
      </w:tr>
      <w:tr w:rsidR="007157A6" w:rsidRPr="007157A6" w14:paraId="62FACA74" w14:textId="77777777" w:rsidTr="00C850ED">
        <w:trPr>
          <w:trHeight w:val="1067"/>
        </w:trPr>
        <w:tc>
          <w:tcPr>
            <w:tcW w:w="8642" w:type="dxa"/>
            <w:vMerge/>
          </w:tcPr>
          <w:p w14:paraId="03B2DCDF" w14:textId="77777777" w:rsidR="007157A6" w:rsidRPr="007157A6" w:rsidRDefault="007157A6" w:rsidP="007157A6">
            <w:pPr>
              <w:rPr>
                <w:lang w:val="en-GB"/>
              </w:rPr>
            </w:pPr>
          </w:p>
        </w:tc>
        <w:tc>
          <w:tcPr>
            <w:tcW w:w="3544" w:type="dxa"/>
          </w:tcPr>
          <w:p w14:paraId="7FD007DD" w14:textId="77777777" w:rsidR="007157A6" w:rsidRPr="007157A6" w:rsidRDefault="007157A6" w:rsidP="007157A6">
            <w:pPr>
              <w:rPr>
                <w:lang w:val="en-GB"/>
              </w:rPr>
            </w:pPr>
            <w:r w:rsidRPr="007157A6">
              <w:rPr>
                <w:lang w:val="en-GB"/>
              </w:rPr>
              <w:t>Practicability</w:t>
            </w:r>
          </w:p>
        </w:tc>
        <w:tc>
          <w:tcPr>
            <w:tcW w:w="418" w:type="dxa"/>
          </w:tcPr>
          <w:p w14:paraId="6ACA939B" w14:textId="77777777" w:rsidR="007157A6" w:rsidRPr="007157A6" w:rsidRDefault="007157A6" w:rsidP="007157A6">
            <w:pPr>
              <w:rPr>
                <w:lang w:val="en-GB"/>
              </w:rPr>
            </w:pPr>
          </w:p>
        </w:tc>
        <w:tc>
          <w:tcPr>
            <w:tcW w:w="418" w:type="dxa"/>
          </w:tcPr>
          <w:p w14:paraId="788D97EB" w14:textId="77777777" w:rsidR="007157A6" w:rsidRPr="007157A6" w:rsidRDefault="007157A6" w:rsidP="007157A6">
            <w:pPr>
              <w:rPr>
                <w:lang w:val="en-GB"/>
              </w:rPr>
            </w:pPr>
          </w:p>
        </w:tc>
        <w:tc>
          <w:tcPr>
            <w:tcW w:w="418" w:type="dxa"/>
          </w:tcPr>
          <w:p w14:paraId="6B0A00E3" w14:textId="77777777" w:rsidR="007157A6" w:rsidRPr="007157A6" w:rsidRDefault="007157A6" w:rsidP="007157A6">
            <w:pPr>
              <w:rPr>
                <w:lang w:val="en-GB"/>
              </w:rPr>
            </w:pPr>
          </w:p>
        </w:tc>
        <w:tc>
          <w:tcPr>
            <w:tcW w:w="418" w:type="dxa"/>
          </w:tcPr>
          <w:p w14:paraId="79D101AB" w14:textId="77777777" w:rsidR="007157A6" w:rsidRPr="007157A6" w:rsidRDefault="007157A6" w:rsidP="007157A6">
            <w:pPr>
              <w:rPr>
                <w:lang w:val="en-GB"/>
              </w:rPr>
            </w:pPr>
          </w:p>
        </w:tc>
        <w:tc>
          <w:tcPr>
            <w:tcW w:w="419" w:type="dxa"/>
          </w:tcPr>
          <w:p w14:paraId="6239EB0A" w14:textId="77777777" w:rsidR="007157A6" w:rsidRPr="007157A6" w:rsidRDefault="007157A6" w:rsidP="007157A6">
            <w:pPr>
              <w:rPr>
                <w:lang w:val="en-GB"/>
              </w:rPr>
            </w:pPr>
          </w:p>
        </w:tc>
      </w:tr>
      <w:tr w:rsidR="007157A6" w:rsidRPr="007157A6" w14:paraId="5CD3A034" w14:textId="77777777" w:rsidTr="00C850ED">
        <w:trPr>
          <w:trHeight w:val="1067"/>
        </w:trPr>
        <w:tc>
          <w:tcPr>
            <w:tcW w:w="8642" w:type="dxa"/>
            <w:vMerge/>
          </w:tcPr>
          <w:p w14:paraId="4A35AC97" w14:textId="77777777" w:rsidR="007157A6" w:rsidRPr="007157A6" w:rsidRDefault="007157A6" w:rsidP="007157A6">
            <w:pPr>
              <w:rPr>
                <w:lang w:val="en-GB"/>
              </w:rPr>
            </w:pPr>
          </w:p>
        </w:tc>
        <w:tc>
          <w:tcPr>
            <w:tcW w:w="3544" w:type="dxa"/>
          </w:tcPr>
          <w:p w14:paraId="082AFEA4"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4778EA0" w14:textId="77777777" w:rsidR="007157A6" w:rsidRPr="007157A6" w:rsidRDefault="007157A6" w:rsidP="007157A6">
            <w:pPr>
              <w:rPr>
                <w:lang w:val="en-GB"/>
              </w:rPr>
            </w:pPr>
          </w:p>
        </w:tc>
        <w:tc>
          <w:tcPr>
            <w:tcW w:w="418" w:type="dxa"/>
          </w:tcPr>
          <w:p w14:paraId="29A7810B" w14:textId="77777777" w:rsidR="007157A6" w:rsidRPr="007157A6" w:rsidRDefault="007157A6" w:rsidP="007157A6">
            <w:pPr>
              <w:rPr>
                <w:lang w:val="en-GB"/>
              </w:rPr>
            </w:pPr>
          </w:p>
        </w:tc>
        <w:tc>
          <w:tcPr>
            <w:tcW w:w="418" w:type="dxa"/>
          </w:tcPr>
          <w:p w14:paraId="1A0E52A6" w14:textId="77777777" w:rsidR="007157A6" w:rsidRPr="007157A6" w:rsidRDefault="007157A6" w:rsidP="007157A6">
            <w:pPr>
              <w:rPr>
                <w:lang w:val="en-GB"/>
              </w:rPr>
            </w:pPr>
          </w:p>
        </w:tc>
        <w:tc>
          <w:tcPr>
            <w:tcW w:w="418" w:type="dxa"/>
          </w:tcPr>
          <w:p w14:paraId="32856101" w14:textId="77777777" w:rsidR="007157A6" w:rsidRPr="007157A6" w:rsidRDefault="007157A6" w:rsidP="007157A6">
            <w:pPr>
              <w:rPr>
                <w:lang w:val="en-GB"/>
              </w:rPr>
            </w:pPr>
          </w:p>
        </w:tc>
        <w:tc>
          <w:tcPr>
            <w:tcW w:w="419" w:type="dxa"/>
          </w:tcPr>
          <w:p w14:paraId="41E72DC4" w14:textId="77777777" w:rsidR="007157A6" w:rsidRPr="007157A6" w:rsidRDefault="007157A6" w:rsidP="007157A6">
            <w:pPr>
              <w:rPr>
                <w:lang w:val="en-GB"/>
              </w:rPr>
            </w:pPr>
          </w:p>
        </w:tc>
      </w:tr>
      <w:tr w:rsidR="007157A6" w:rsidRPr="007157A6" w14:paraId="5E3FBB61" w14:textId="77777777" w:rsidTr="00C850ED">
        <w:tc>
          <w:tcPr>
            <w:tcW w:w="8642" w:type="dxa"/>
            <w:shd w:val="clear" w:color="auto" w:fill="D9D9D9" w:themeFill="background1" w:themeFillShade="D9"/>
          </w:tcPr>
          <w:p w14:paraId="3DB5C93A"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01F583DA"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42CFE423"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3C6FF76C"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2E73B983"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28A090D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32E03436" w14:textId="77777777" w:rsidR="007157A6" w:rsidRPr="007157A6" w:rsidRDefault="007157A6" w:rsidP="007157A6">
            <w:pPr>
              <w:rPr>
                <w:lang w:val="en-GB"/>
              </w:rPr>
            </w:pPr>
            <w:r w:rsidRPr="007157A6">
              <w:rPr>
                <w:b/>
                <w:lang w:val="en-GB"/>
              </w:rPr>
              <w:t>1</w:t>
            </w:r>
          </w:p>
        </w:tc>
      </w:tr>
      <w:tr w:rsidR="007157A6" w:rsidRPr="007157A6" w14:paraId="55FBA990" w14:textId="77777777" w:rsidTr="00C850ED">
        <w:trPr>
          <w:trHeight w:val="798"/>
        </w:trPr>
        <w:tc>
          <w:tcPr>
            <w:tcW w:w="8642" w:type="dxa"/>
            <w:vMerge w:val="restart"/>
          </w:tcPr>
          <w:p w14:paraId="4E04682E" w14:textId="77777777" w:rsidR="007157A6" w:rsidRPr="007157A6" w:rsidRDefault="007157A6" w:rsidP="007157A6">
            <w:pPr>
              <w:rPr>
                <w:lang w:val="en-GB"/>
              </w:rPr>
            </w:pPr>
            <w:r w:rsidRPr="007157A6">
              <w:rPr>
                <w:lang w:val="en-GB"/>
              </w:rPr>
              <w:t xml:space="preserve">The change in the definition of the forecast horizon (as per the DRS 20 20.127 wording: “a forecast period of one year at minimum ... must be used”) towards medium and long-term horizons is the basis for establishing forward-looking information. Disclosures of forward-looking information should focus on core information (see the representations in the TCFD sector dialogues in the oil and gas, chemical and energy sectors). Periods of plus 1 year up to plus 5 years at minimum can be considered short and medium-term periods (in addition to optional long-term horizons of 10 to 20 years). Initially, the forward-looking reporting for the medium and long term is to focus on the disclosure of corporate strategies, action plans </w:t>
            </w:r>
            <w:r w:rsidRPr="007157A6">
              <w:rPr>
                <w:lang w:val="en-GB"/>
              </w:rPr>
              <w:lastRenderedPageBreak/>
              <w:t>aimed at target achievement as well as, in future, scenarios including the underlying premises.</w:t>
            </w:r>
          </w:p>
        </w:tc>
        <w:tc>
          <w:tcPr>
            <w:tcW w:w="3544" w:type="dxa"/>
          </w:tcPr>
          <w:p w14:paraId="1A1D94CA"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7BE1C852" w14:textId="77777777" w:rsidR="007157A6" w:rsidRPr="007157A6" w:rsidRDefault="007157A6" w:rsidP="007157A6">
            <w:pPr>
              <w:rPr>
                <w:lang w:val="en-GB"/>
              </w:rPr>
            </w:pPr>
          </w:p>
        </w:tc>
        <w:tc>
          <w:tcPr>
            <w:tcW w:w="418" w:type="dxa"/>
          </w:tcPr>
          <w:p w14:paraId="1FCEE1CF" w14:textId="77777777" w:rsidR="007157A6" w:rsidRPr="007157A6" w:rsidRDefault="007157A6" w:rsidP="007157A6">
            <w:pPr>
              <w:rPr>
                <w:lang w:val="en-GB"/>
              </w:rPr>
            </w:pPr>
          </w:p>
        </w:tc>
        <w:tc>
          <w:tcPr>
            <w:tcW w:w="418" w:type="dxa"/>
          </w:tcPr>
          <w:p w14:paraId="5EB98AF4" w14:textId="77777777" w:rsidR="007157A6" w:rsidRPr="007157A6" w:rsidRDefault="007157A6" w:rsidP="007157A6">
            <w:pPr>
              <w:rPr>
                <w:lang w:val="en-GB"/>
              </w:rPr>
            </w:pPr>
          </w:p>
        </w:tc>
        <w:tc>
          <w:tcPr>
            <w:tcW w:w="418" w:type="dxa"/>
          </w:tcPr>
          <w:p w14:paraId="0F149ACB" w14:textId="77777777" w:rsidR="007157A6" w:rsidRPr="007157A6" w:rsidRDefault="007157A6" w:rsidP="007157A6">
            <w:pPr>
              <w:rPr>
                <w:lang w:val="en-GB"/>
              </w:rPr>
            </w:pPr>
          </w:p>
        </w:tc>
        <w:tc>
          <w:tcPr>
            <w:tcW w:w="419" w:type="dxa"/>
          </w:tcPr>
          <w:p w14:paraId="248323A8" w14:textId="77777777" w:rsidR="007157A6" w:rsidRPr="007157A6" w:rsidRDefault="007157A6" w:rsidP="007157A6">
            <w:pPr>
              <w:rPr>
                <w:lang w:val="en-GB"/>
              </w:rPr>
            </w:pPr>
          </w:p>
        </w:tc>
      </w:tr>
      <w:tr w:rsidR="007157A6" w:rsidRPr="007157A6" w14:paraId="2961E9D4" w14:textId="77777777" w:rsidTr="00C850ED">
        <w:trPr>
          <w:trHeight w:val="798"/>
        </w:trPr>
        <w:tc>
          <w:tcPr>
            <w:tcW w:w="8642" w:type="dxa"/>
            <w:vMerge/>
          </w:tcPr>
          <w:p w14:paraId="32A4E8BB" w14:textId="77777777" w:rsidR="007157A6" w:rsidRPr="007157A6" w:rsidRDefault="007157A6" w:rsidP="007157A6">
            <w:pPr>
              <w:rPr>
                <w:lang w:val="en-GB"/>
              </w:rPr>
            </w:pPr>
          </w:p>
        </w:tc>
        <w:tc>
          <w:tcPr>
            <w:tcW w:w="3544" w:type="dxa"/>
          </w:tcPr>
          <w:p w14:paraId="7B812B97" w14:textId="77777777" w:rsidR="007157A6" w:rsidRPr="007157A6" w:rsidRDefault="007157A6" w:rsidP="007157A6">
            <w:pPr>
              <w:rPr>
                <w:lang w:val="en-GB"/>
              </w:rPr>
            </w:pPr>
            <w:r w:rsidRPr="007157A6">
              <w:rPr>
                <w:lang w:val="en-GB"/>
              </w:rPr>
              <w:t>Level of ambition</w:t>
            </w:r>
          </w:p>
        </w:tc>
        <w:tc>
          <w:tcPr>
            <w:tcW w:w="418" w:type="dxa"/>
          </w:tcPr>
          <w:p w14:paraId="25724202" w14:textId="77777777" w:rsidR="007157A6" w:rsidRPr="007157A6" w:rsidRDefault="007157A6" w:rsidP="007157A6">
            <w:pPr>
              <w:rPr>
                <w:lang w:val="en-GB"/>
              </w:rPr>
            </w:pPr>
          </w:p>
        </w:tc>
        <w:tc>
          <w:tcPr>
            <w:tcW w:w="418" w:type="dxa"/>
          </w:tcPr>
          <w:p w14:paraId="2B5B0DD6" w14:textId="77777777" w:rsidR="007157A6" w:rsidRPr="007157A6" w:rsidRDefault="007157A6" w:rsidP="007157A6">
            <w:pPr>
              <w:rPr>
                <w:lang w:val="en-GB"/>
              </w:rPr>
            </w:pPr>
          </w:p>
        </w:tc>
        <w:tc>
          <w:tcPr>
            <w:tcW w:w="418" w:type="dxa"/>
          </w:tcPr>
          <w:p w14:paraId="5F2E8CAD" w14:textId="77777777" w:rsidR="007157A6" w:rsidRPr="007157A6" w:rsidRDefault="007157A6" w:rsidP="007157A6">
            <w:pPr>
              <w:rPr>
                <w:lang w:val="en-GB"/>
              </w:rPr>
            </w:pPr>
          </w:p>
        </w:tc>
        <w:tc>
          <w:tcPr>
            <w:tcW w:w="418" w:type="dxa"/>
          </w:tcPr>
          <w:p w14:paraId="17D7C30F" w14:textId="77777777" w:rsidR="007157A6" w:rsidRPr="007157A6" w:rsidRDefault="007157A6" w:rsidP="007157A6">
            <w:pPr>
              <w:rPr>
                <w:lang w:val="en-GB"/>
              </w:rPr>
            </w:pPr>
          </w:p>
        </w:tc>
        <w:tc>
          <w:tcPr>
            <w:tcW w:w="419" w:type="dxa"/>
          </w:tcPr>
          <w:p w14:paraId="4B62D3BD" w14:textId="77777777" w:rsidR="007157A6" w:rsidRPr="007157A6" w:rsidRDefault="007157A6" w:rsidP="007157A6">
            <w:pPr>
              <w:rPr>
                <w:lang w:val="en-GB"/>
              </w:rPr>
            </w:pPr>
          </w:p>
        </w:tc>
      </w:tr>
      <w:tr w:rsidR="007157A6" w:rsidRPr="007157A6" w14:paraId="62A847AD" w14:textId="77777777" w:rsidTr="00C850ED">
        <w:trPr>
          <w:trHeight w:val="798"/>
        </w:trPr>
        <w:tc>
          <w:tcPr>
            <w:tcW w:w="8642" w:type="dxa"/>
            <w:vMerge/>
          </w:tcPr>
          <w:p w14:paraId="2C5440A2" w14:textId="77777777" w:rsidR="007157A6" w:rsidRPr="007157A6" w:rsidRDefault="007157A6" w:rsidP="007157A6">
            <w:pPr>
              <w:rPr>
                <w:lang w:val="en-GB"/>
              </w:rPr>
            </w:pPr>
          </w:p>
        </w:tc>
        <w:tc>
          <w:tcPr>
            <w:tcW w:w="3544" w:type="dxa"/>
          </w:tcPr>
          <w:p w14:paraId="37405FCB" w14:textId="77777777" w:rsidR="007157A6" w:rsidRPr="007157A6" w:rsidRDefault="007157A6" w:rsidP="007157A6">
            <w:pPr>
              <w:rPr>
                <w:lang w:val="en-GB"/>
              </w:rPr>
            </w:pPr>
            <w:r w:rsidRPr="007157A6">
              <w:rPr>
                <w:lang w:val="en-GB"/>
              </w:rPr>
              <w:t>Practicability</w:t>
            </w:r>
          </w:p>
        </w:tc>
        <w:tc>
          <w:tcPr>
            <w:tcW w:w="418" w:type="dxa"/>
          </w:tcPr>
          <w:p w14:paraId="3BA7B986" w14:textId="77777777" w:rsidR="007157A6" w:rsidRPr="007157A6" w:rsidRDefault="007157A6" w:rsidP="007157A6">
            <w:pPr>
              <w:rPr>
                <w:lang w:val="en-GB"/>
              </w:rPr>
            </w:pPr>
          </w:p>
        </w:tc>
        <w:tc>
          <w:tcPr>
            <w:tcW w:w="418" w:type="dxa"/>
          </w:tcPr>
          <w:p w14:paraId="2C852E29" w14:textId="77777777" w:rsidR="007157A6" w:rsidRPr="007157A6" w:rsidRDefault="007157A6" w:rsidP="007157A6">
            <w:pPr>
              <w:rPr>
                <w:lang w:val="en-GB"/>
              </w:rPr>
            </w:pPr>
          </w:p>
        </w:tc>
        <w:tc>
          <w:tcPr>
            <w:tcW w:w="418" w:type="dxa"/>
          </w:tcPr>
          <w:p w14:paraId="0C48A4A1" w14:textId="77777777" w:rsidR="007157A6" w:rsidRPr="007157A6" w:rsidRDefault="007157A6" w:rsidP="007157A6">
            <w:pPr>
              <w:rPr>
                <w:lang w:val="en-GB"/>
              </w:rPr>
            </w:pPr>
          </w:p>
        </w:tc>
        <w:tc>
          <w:tcPr>
            <w:tcW w:w="418" w:type="dxa"/>
          </w:tcPr>
          <w:p w14:paraId="59E05DC6" w14:textId="77777777" w:rsidR="007157A6" w:rsidRPr="007157A6" w:rsidRDefault="007157A6" w:rsidP="007157A6">
            <w:pPr>
              <w:rPr>
                <w:lang w:val="en-GB"/>
              </w:rPr>
            </w:pPr>
          </w:p>
        </w:tc>
        <w:tc>
          <w:tcPr>
            <w:tcW w:w="419" w:type="dxa"/>
          </w:tcPr>
          <w:p w14:paraId="0F7A51FE" w14:textId="77777777" w:rsidR="007157A6" w:rsidRPr="007157A6" w:rsidRDefault="007157A6" w:rsidP="007157A6">
            <w:pPr>
              <w:rPr>
                <w:lang w:val="en-GB"/>
              </w:rPr>
            </w:pPr>
          </w:p>
        </w:tc>
      </w:tr>
      <w:tr w:rsidR="007157A6" w:rsidRPr="007157A6" w14:paraId="7D245E4A" w14:textId="77777777" w:rsidTr="00C850ED">
        <w:trPr>
          <w:trHeight w:val="799"/>
        </w:trPr>
        <w:tc>
          <w:tcPr>
            <w:tcW w:w="8642" w:type="dxa"/>
            <w:vMerge/>
          </w:tcPr>
          <w:p w14:paraId="6CD29FD9" w14:textId="77777777" w:rsidR="007157A6" w:rsidRPr="007157A6" w:rsidRDefault="007157A6" w:rsidP="007157A6">
            <w:pPr>
              <w:rPr>
                <w:lang w:val="en-GB"/>
              </w:rPr>
            </w:pPr>
          </w:p>
        </w:tc>
        <w:tc>
          <w:tcPr>
            <w:tcW w:w="3544" w:type="dxa"/>
          </w:tcPr>
          <w:p w14:paraId="674B262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9040D79" w14:textId="77777777" w:rsidR="007157A6" w:rsidRPr="007157A6" w:rsidRDefault="007157A6" w:rsidP="007157A6">
            <w:pPr>
              <w:rPr>
                <w:lang w:val="en-GB"/>
              </w:rPr>
            </w:pPr>
          </w:p>
        </w:tc>
        <w:tc>
          <w:tcPr>
            <w:tcW w:w="418" w:type="dxa"/>
          </w:tcPr>
          <w:p w14:paraId="3B85AA3B" w14:textId="77777777" w:rsidR="007157A6" w:rsidRPr="007157A6" w:rsidRDefault="007157A6" w:rsidP="007157A6">
            <w:pPr>
              <w:rPr>
                <w:lang w:val="en-GB"/>
              </w:rPr>
            </w:pPr>
          </w:p>
        </w:tc>
        <w:tc>
          <w:tcPr>
            <w:tcW w:w="418" w:type="dxa"/>
          </w:tcPr>
          <w:p w14:paraId="11E07A05" w14:textId="77777777" w:rsidR="007157A6" w:rsidRPr="007157A6" w:rsidRDefault="007157A6" w:rsidP="007157A6">
            <w:pPr>
              <w:rPr>
                <w:lang w:val="en-GB"/>
              </w:rPr>
            </w:pPr>
          </w:p>
        </w:tc>
        <w:tc>
          <w:tcPr>
            <w:tcW w:w="418" w:type="dxa"/>
          </w:tcPr>
          <w:p w14:paraId="6BB5CA76" w14:textId="77777777" w:rsidR="007157A6" w:rsidRPr="007157A6" w:rsidRDefault="007157A6" w:rsidP="007157A6">
            <w:pPr>
              <w:rPr>
                <w:lang w:val="en-GB"/>
              </w:rPr>
            </w:pPr>
          </w:p>
        </w:tc>
        <w:tc>
          <w:tcPr>
            <w:tcW w:w="419" w:type="dxa"/>
          </w:tcPr>
          <w:p w14:paraId="3824F6FF" w14:textId="77777777" w:rsidR="007157A6" w:rsidRPr="007157A6" w:rsidRDefault="007157A6" w:rsidP="007157A6">
            <w:pPr>
              <w:rPr>
                <w:lang w:val="en-GB"/>
              </w:rPr>
            </w:pPr>
          </w:p>
        </w:tc>
      </w:tr>
      <w:tr w:rsidR="007157A6" w:rsidRPr="007157A6" w14:paraId="3DC30E09" w14:textId="77777777" w:rsidTr="00C850ED">
        <w:tc>
          <w:tcPr>
            <w:tcW w:w="8642" w:type="dxa"/>
            <w:shd w:val="clear" w:color="auto" w:fill="D9D9D9" w:themeFill="background1" w:themeFillShade="D9"/>
          </w:tcPr>
          <w:p w14:paraId="77422BEC"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409C046E"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3C62C801"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349F9240"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68BA6A74"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5292CFBD"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65385934" w14:textId="77777777" w:rsidR="007157A6" w:rsidRPr="007157A6" w:rsidRDefault="007157A6" w:rsidP="007157A6">
            <w:pPr>
              <w:rPr>
                <w:b/>
                <w:lang w:val="en-GB"/>
              </w:rPr>
            </w:pPr>
            <w:r w:rsidRPr="007157A6">
              <w:rPr>
                <w:b/>
                <w:lang w:val="en-GB"/>
              </w:rPr>
              <w:t>1</w:t>
            </w:r>
          </w:p>
        </w:tc>
      </w:tr>
      <w:tr w:rsidR="007157A6" w:rsidRPr="007157A6" w14:paraId="13A705D1" w14:textId="77777777" w:rsidTr="00C850ED">
        <w:trPr>
          <w:trHeight w:val="798"/>
        </w:trPr>
        <w:tc>
          <w:tcPr>
            <w:tcW w:w="8642" w:type="dxa"/>
            <w:vMerge w:val="restart"/>
          </w:tcPr>
          <w:p w14:paraId="7EFE498E" w14:textId="77777777" w:rsidR="007157A6" w:rsidRPr="007157A6" w:rsidRDefault="007157A6" w:rsidP="007157A6">
            <w:pPr>
              <w:rPr>
                <w:lang w:val="en-GB"/>
              </w:rPr>
            </w:pPr>
            <w:r w:rsidRPr="007157A6">
              <w:rPr>
                <w:lang w:val="en-GB"/>
              </w:rPr>
              <w:t>Basic considerations as to overarching institutional issues related to the ongoing development of sustainability reporting: The international momentum towards the creation of reporting standards for the disclosure of non-financial information and/or sustainability performance data increasingly raises questions about how to consolidate and simplify such standards, especially from the perspective of the report preparers . The institutional framework for non-financial and sustainability reporting in the international context must be clarified in this connection – taking relevant institutions such as the International Accounting Standards Board (IASB) and the International Integrated Reporting Council (IIRC) into account – so that report preparers have access to a reliable framework not just for financial reporting but also for all elements of management reports.</w:t>
            </w:r>
          </w:p>
        </w:tc>
        <w:tc>
          <w:tcPr>
            <w:tcW w:w="3544" w:type="dxa"/>
          </w:tcPr>
          <w:p w14:paraId="7C58C810" w14:textId="77777777" w:rsidR="007157A6" w:rsidRPr="007157A6" w:rsidRDefault="007157A6" w:rsidP="007157A6">
            <w:pPr>
              <w:rPr>
                <w:lang w:val="en-GB"/>
              </w:rPr>
            </w:pPr>
            <w:r w:rsidRPr="007157A6">
              <w:rPr>
                <w:lang w:val="en-GB"/>
              </w:rPr>
              <w:t>Will foster Sustainable Finance in Germany</w:t>
            </w:r>
          </w:p>
        </w:tc>
        <w:tc>
          <w:tcPr>
            <w:tcW w:w="418" w:type="dxa"/>
          </w:tcPr>
          <w:p w14:paraId="75001B33" w14:textId="77777777" w:rsidR="007157A6" w:rsidRPr="007157A6" w:rsidRDefault="007157A6" w:rsidP="007157A6">
            <w:pPr>
              <w:rPr>
                <w:lang w:val="en-GB"/>
              </w:rPr>
            </w:pPr>
          </w:p>
        </w:tc>
        <w:tc>
          <w:tcPr>
            <w:tcW w:w="418" w:type="dxa"/>
          </w:tcPr>
          <w:p w14:paraId="20206A71" w14:textId="77777777" w:rsidR="007157A6" w:rsidRPr="007157A6" w:rsidRDefault="007157A6" w:rsidP="007157A6">
            <w:pPr>
              <w:rPr>
                <w:lang w:val="en-GB"/>
              </w:rPr>
            </w:pPr>
          </w:p>
        </w:tc>
        <w:tc>
          <w:tcPr>
            <w:tcW w:w="418" w:type="dxa"/>
          </w:tcPr>
          <w:p w14:paraId="16A02EB8" w14:textId="77777777" w:rsidR="007157A6" w:rsidRPr="007157A6" w:rsidRDefault="007157A6" w:rsidP="007157A6">
            <w:pPr>
              <w:rPr>
                <w:lang w:val="en-GB"/>
              </w:rPr>
            </w:pPr>
          </w:p>
        </w:tc>
        <w:tc>
          <w:tcPr>
            <w:tcW w:w="418" w:type="dxa"/>
          </w:tcPr>
          <w:p w14:paraId="1A2D0F21" w14:textId="77777777" w:rsidR="007157A6" w:rsidRPr="007157A6" w:rsidRDefault="007157A6" w:rsidP="007157A6">
            <w:pPr>
              <w:rPr>
                <w:lang w:val="en-GB"/>
              </w:rPr>
            </w:pPr>
          </w:p>
        </w:tc>
        <w:tc>
          <w:tcPr>
            <w:tcW w:w="419" w:type="dxa"/>
          </w:tcPr>
          <w:p w14:paraId="4DAA2700" w14:textId="77777777" w:rsidR="007157A6" w:rsidRPr="007157A6" w:rsidRDefault="007157A6" w:rsidP="007157A6">
            <w:pPr>
              <w:rPr>
                <w:lang w:val="en-GB"/>
              </w:rPr>
            </w:pPr>
          </w:p>
        </w:tc>
      </w:tr>
      <w:tr w:rsidR="007157A6" w:rsidRPr="007157A6" w14:paraId="348E0A95" w14:textId="77777777" w:rsidTr="00C850ED">
        <w:trPr>
          <w:trHeight w:val="798"/>
        </w:trPr>
        <w:tc>
          <w:tcPr>
            <w:tcW w:w="8642" w:type="dxa"/>
            <w:vMerge/>
          </w:tcPr>
          <w:p w14:paraId="0996DC1A" w14:textId="77777777" w:rsidR="007157A6" w:rsidRPr="007157A6" w:rsidRDefault="007157A6" w:rsidP="007157A6">
            <w:pPr>
              <w:rPr>
                <w:lang w:val="en-GB"/>
              </w:rPr>
            </w:pPr>
          </w:p>
        </w:tc>
        <w:tc>
          <w:tcPr>
            <w:tcW w:w="3544" w:type="dxa"/>
          </w:tcPr>
          <w:p w14:paraId="7B867542" w14:textId="77777777" w:rsidR="007157A6" w:rsidRPr="007157A6" w:rsidRDefault="007157A6" w:rsidP="007157A6">
            <w:pPr>
              <w:rPr>
                <w:lang w:val="en-GB"/>
              </w:rPr>
            </w:pPr>
            <w:r w:rsidRPr="007157A6">
              <w:rPr>
                <w:lang w:val="en-GB"/>
              </w:rPr>
              <w:t>Level of ambition</w:t>
            </w:r>
          </w:p>
        </w:tc>
        <w:tc>
          <w:tcPr>
            <w:tcW w:w="418" w:type="dxa"/>
          </w:tcPr>
          <w:p w14:paraId="704D5E6F" w14:textId="77777777" w:rsidR="007157A6" w:rsidRPr="007157A6" w:rsidRDefault="007157A6" w:rsidP="007157A6">
            <w:pPr>
              <w:rPr>
                <w:lang w:val="en-GB"/>
              </w:rPr>
            </w:pPr>
          </w:p>
        </w:tc>
        <w:tc>
          <w:tcPr>
            <w:tcW w:w="418" w:type="dxa"/>
          </w:tcPr>
          <w:p w14:paraId="632CB318" w14:textId="77777777" w:rsidR="007157A6" w:rsidRPr="007157A6" w:rsidRDefault="007157A6" w:rsidP="007157A6">
            <w:pPr>
              <w:rPr>
                <w:lang w:val="en-GB"/>
              </w:rPr>
            </w:pPr>
          </w:p>
        </w:tc>
        <w:tc>
          <w:tcPr>
            <w:tcW w:w="418" w:type="dxa"/>
          </w:tcPr>
          <w:p w14:paraId="44DF99C7" w14:textId="77777777" w:rsidR="007157A6" w:rsidRPr="007157A6" w:rsidRDefault="007157A6" w:rsidP="007157A6">
            <w:pPr>
              <w:rPr>
                <w:lang w:val="en-GB"/>
              </w:rPr>
            </w:pPr>
          </w:p>
        </w:tc>
        <w:tc>
          <w:tcPr>
            <w:tcW w:w="418" w:type="dxa"/>
          </w:tcPr>
          <w:p w14:paraId="511B3D03" w14:textId="77777777" w:rsidR="007157A6" w:rsidRPr="007157A6" w:rsidRDefault="007157A6" w:rsidP="007157A6">
            <w:pPr>
              <w:rPr>
                <w:lang w:val="en-GB"/>
              </w:rPr>
            </w:pPr>
          </w:p>
        </w:tc>
        <w:tc>
          <w:tcPr>
            <w:tcW w:w="419" w:type="dxa"/>
          </w:tcPr>
          <w:p w14:paraId="1D006E24" w14:textId="77777777" w:rsidR="007157A6" w:rsidRPr="007157A6" w:rsidRDefault="007157A6" w:rsidP="007157A6">
            <w:pPr>
              <w:rPr>
                <w:lang w:val="en-GB"/>
              </w:rPr>
            </w:pPr>
          </w:p>
        </w:tc>
      </w:tr>
      <w:tr w:rsidR="007157A6" w:rsidRPr="007157A6" w14:paraId="0DCC2886" w14:textId="77777777" w:rsidTr="00C850ED">
        <w:trPr>
          <w:trHeight w:val="798"/>
        </w:trPr>
        <w:tc>
          <w:tcPr>
            <w:tcW w:w="8642" w:type="dxa"/>
            <w:vMerge/>
          </w:tcPr>
          <w:p w14:paraId="4838D61D" w14:textId="77777777" w:rsidR="007157A6" w:rsidRPr="007157A6" w:rsidRDefault="007157A6" w:rsidP="007157A6">
            <w:pPr>
              <w:rPr>
                <w:lang w:val="en-GB"/>
              </w:rPr>
            </w:pPr>
          </w:p>
        </w:tc>
        <w:tc>
          <w:tcPr>
            <w:tcW w:w="3544" w:type="dxa"/>
          </w:tcPr>
          <w:p w14:paraId="477AE429" w14:textId="77777777" w:rsidR="007157A6" w:rsidRPr="007157A6" w:rsidRDefault="007157A6" w:rsidP="007157A6">
            <w:pPr>
              <w:rPr>
                <w:lang w:val="en-GB"/>
              </w:rPr>
            </w:pPr>
            <w:r w:rsidRPr="007157A6">
              <w:rPr>
                <w:lang w:val="en-GB"/>
              </w:rPr>
              <w:t>Practicability</w:t>
            </w:r>
          </w:p>
        </w:tc>
        <w:tc>
          <w:tcPr>
            <w:tcW w:w="418" w:type="dxa"/>
          </w:tcPr>
          <w:p w14:paraId="508FD9A0" w14:textId="77777777" w:rsidR="007157A6" w:rsidRPr="007157A6" w:rsidRDefault="007157A6" w:rsidP="007157A6">
            <w:pPr>
              <w:rPr>
                <w:lang w:val="en-GB"/>
              </w:rPr>
            </w:pPr>
          </w:p>
        </w:tc>
        <w:tc>
          <w:tcPr>
            <w:tcW w:w="418" w:type="dxa"/>
          </w:tcPr>
          <w:p w14:paraId="399CBC12" w14:textId="77777777" w:rsidR="007157A6" w:rsidRPr="007157A6" w:rsidRDefault="007157A6" w:rsidP="007157A6">
            <w:pPr>
              <w:rPr>
                <w:lang w:val="en-GB"/>
              </w:rPr>
            </w:pPr>
          </w:p>
        </w:tc>
        <w:tc>
          <w:tcPr>
            <w:tcW w:w="418" w:type="dxa"/>
          </w:tcPr>
          <w:p w14:paraId="4CE7DC6C" w14:textId="77777777" w:rsidR="007157A6" w:rsidRPr="007157A6" w:rsidRDefault="007157A6" w:rsidP="007157A6">
            <w:pPr>
              <w:rPr>
                <w:lang w:val="en-GB"/>
              </w:rPr>
            </w:pPr>
          </w:p>
        </w:tc>
        <w:tc>
          <w:tcPr>
            <w:tcW w:w="418" w:type="dxa"/>
          </w:tcPr>
          <w:p w14:paraId="76000BEC" w14:textId="77777777" w:rsidR="007157A6" w:rsidRPr="007157A6" w:rsidRDefault="007157A6" w:rsidP="007157A6">
            <w:pPr>
              <w:rPr>
                <w:lang w:val="en-GB"/>
              </w:rPr>
            </w:pPr>
          </w:p>
        </w:tc>
        <w:tc>
          <w:tcPr>
            <w:tcW w:w="419" w:type="dxa"/>
          </w:tcPr>
          <w:p w14:paraId="7AD66420" w14:textId="77777777" w:rsidR="007157A6" w:rsidRPr="007157A6" w:rsidRDefault="007157A6" w:rsidP="007157A6">
            <w:pPr>
              <w:rPr>
                <w:lang w:val="en-GB"/>
              </w:rPr>
            </w:pPr>
          </w:p>
        </w:tc>
      </w:tr>
      <w:tr w:rsidR="007157A6" w:rsidRPr="007157A6" w14:paraId="78EDFC1C" w14:textId="77777777" w:rsidTr="00C850ED">
        <w:trPr>
          <w:trHeight w:val="799"/>
        </w:trPr>
        <w:tc>
          <w:tcPr>
            <w:tcW w:w="8642" w:type="dxa"/>
            <w:vMerge/>
          </w:tcPr>
          <w:p w14:paraId="6C3B4AC2" w14:textId="77777777" w:rsidR="007157A6" w:rsidRPr="007157A6" w:rsidRDefault="007157A6" w:rsidP="007157A6">
            <w:pPr>
              <w:rPr>
                <w:lang w:val="en-GB"/>
              </w:rPr>
            </w:pPr>
          </w:p>
        </w:tc>
        <w:tc>
          <w:tcPr>
            <w:tcW w:w="3544" w:type="dxa"/>
          </w:tcPr>
          <w:p w14:paraId="39AFE984"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C9E3C4E" w14:textId="77777777" w:rsidR="007157A6" w:rsidRPr="007157A6" w:rsidRDefault="007157A6" w:rsidP="007157A6">
            <w:pPr>
              <w:rPr>
                <w:lang w:val="en-GB"/>
              </w:rPr>
            </w:pPr>
          </w:p>
        </w:tc>
        <w:tc>
          <w:tcPr>
            <w:tcW w:w="418" w:type="dxa"/>
          </w:tcPr>
          <w:p w14:paraId="4D7C3D86" w14:textId="77777777" w:rsidR="007157A6" w:rsidRPr="007157A6" w:rsidRDefault="007157A6" w:rsidP="007157A6">
            <w:pPr>
              <w:rPr>
                <w:lang w:val="en-GB"/>
              </w:rPr>
            </w:pPr>
          </w:p>
        </w:tc>
        <w:tc>
          <w:tcPr>
            <w:tcW w:w="418" w:type="dxa"/>
          </w:tcPr>
          <w:p w14:paraId="32511892" w14:textId="77777777" w:rsidR="007157A6" w:rsidRPr="007157A6" w:rsidRDefault="007157A6" w:rsidP="007157A6">
            <w:pPr>
              <w:rPr>
                <w:lang w:val="en-GB"/>
              </w:rPr>
            </w:pPr>
          </w:p>
        </w:tc>
        <w:tc>
          <w:tcPr>
            <w:tcW w:w="418" w:type="dxa"/>
          </w:tcPr>
          <w:p w14:paraId="6C28592D" w14:textId="77777777" w:rsidR="007157A6" w:rsidRPr="007157A6" w:rsidRDefault="007157A6" w:rsidP="007157A6">
            <w:pPr>
              <w:rPr>
                <w:lang w:val="en-GB"/>
              </w:rPr>
            </w:pPr>
          </w:p>
        </w:tc>
        <w:tc>
          <w:tcPr>
            <w:tcW w:w="419" w:type="dxa"/>
          </w:tcPr>
          <w:p w14:paraId="62F1FFC4" w14:textId="77777777" w:rsidR="007157A6" w:rsidRPr="007157A6" w:rsidRDefault="007157A6" w:rsidP="007157A6">
            <w:pPr>
              <w:rPr>
                <w:lang w:val="en-GB"/>
              </w:rPr>
            </w:pPr>
          </w:p>
        </w:tc>
      </w:tr>
      <w:tr w:rsidR="007157A6" w:rsidRPr="007157A6" w14:paraId="36E47153" w14:textId="77777777" w:rsidTr="00C850ED">
        <w:tc>
          <w:tcPr>
            <w:tcW w:w="8642" w:type="dxa"/>
            <w:shd w:val="clear" w:color="auto" w:fill="D9D9D9" w:themeFill="background1" w:themeFillShade="D9"/>
          </w:tcPr>
          <w:p w14:paraId="5CEDAC51"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24F879DE"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B67F657"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E624665"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6B333B9F"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2783460A"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7222AA19" w14:textId="77777777" w:rsidR="007157A6" w:rsidRPr="007157A6" w:rsidRDefault="007157A6" w:rsidP="007157A6">
            <w:pPr>
              <w:rPr>
                <w:lang w:val="en-GB"/>
              </w:rPr>
            </w:pPr>
            <w:r w:rsidRPr="007157A6">
              <w:rPr>
                <w:b/>
                <w:lang w:val="en-GB"/>
              </w:rPr>
              <w:t>1</w:t>
            </w:r>
          </w:p>
        </w:tc>
      </w:tr>
      <w:tr w:rsidR="007157A6" w:rsidRPr="007157A6" w14:paraId="6BD7580E" w14:textId="77777777" w:rsidTr="00C850ED">
        <w:tc>
          <w:tcPr>
            <w:tcW w:w="8642" w:type="dxa"/>
            <w:vMerge w:val="restart"/>
          </w:tcPr>
          <w:p w14:paraId="74DC5AE2" w14:textId="77777777" w:rsidR="007157A6" w:rsidRPr="007157A6" w:rsidRDefault="007157A6" w:rsidP="007157A6">
            <w:pPr>
              <w:rPr>
                <w:lang w:val="en-GB"/>
              </w:rPr>
            </w:pPr>
            <w:r w:rsidRPr="007157A6">
              <w:rPr>
                <w:lang w:val="en-GB"/>
              </w:rPr>
              <w:t>Improve access to sustainability data through digitalisation and by establishing a raw database.</w:t>
            </w:r>
          </w:p>
        </w:tc>
        <w:tc>
          <w:tcPr>
            <w:tcW w:w="3544" w:type="dxa"/>
          </w:tcPr>
          <w:p w14:paraId="44979938" w14:textId="77777777" w:rsidR="007157A6" w:rsidRPr="007157A6" w:rsidRDefault="007157A6" w:rsidP="007157A6">
            <w:pPr>
              <w:rPr>
                <w:lang w:val="en-GB"/>
              </w:rPr>
            </w:pPr>
            <w:r w:rsidRPr="007157A6">
              <w:rPr>
                <w:lang w:val="en-GB"/>
              </w:rPr>
              <w:t>Will foster Sustainable Finance in Germany</w:t>
            </w:r>
          </w:p>
        </w:tc>
        <w:tc>
          <w:tcPr>
            <w:tcW w:w="418" w:type="dxa"/>
          </w:tcPr>
          <w:p w14:paraId="06DDE2C6" w14:textId="77777777" w:rsidR="007157A6" w:rsidRPr="007157A6" w:rsidRDefault="007157A6" w:rsidP="007157A6">
            <w:pPr>
              <w:rPr>
                <w:lang w:val="en-GB"/>
              </w:rPr>
            </w:pPr>
          </w:p>
        </w:tc>
        <w:tc>
          <w:tcPr>
            <w:tcW w:w="418" w:type="dxa"/>
          </w:tcPr>
          <w:p w14:paraId="095168DA" w14:textId="77777777" w:rsidR="007157A6" w:rsidRPr="007157A6" w:rsidRDefault="007157A6" w:rsidP="007157A6">
            <w:pPr>
              <w:rPr>
                <w:lang w:val="en-GB"/>
              </w:rPr>
            </w:pPr>
          </w:p>
        </w:tc>
        <w:tc>
          <w:tcPr>
            <w:tcW w:w="418" w:type="dxa"/>
          </w:tcPr>
          <w:p w14:paraId="1330190A" w14:textId="77777777" w:rsidR="007157A6" w:rsidRPr="007157A6" w:rsidRDefault="007157A6" w:rsidP="007157A6">
            <w:pPr>
              <w:rPr>
                <w:lang w:val="en-GB"/>
              </w:rPr>
            </w:pPr>
          </w:p>
        </w:tc>
        <w:tc>
          <w:tcPr>
            <w:tcW w:w="418" w:type="dxa"/>
          </w:tcPr>
          <w:p w14:paraId="373D3DB2" w14:textId="77777777" w:rsidR="007157A6" w:rsidRPr="007157A6" w:rsidRDefault="007157A6" w:rsidP="007157A6">
            <w:pPr>
              <w:rPr>
                <w:lang w:val="en-GB"/>
              </w:rPr>
            </w:pPr>
          </w:p>
        </w:tc>
        <w:tc>
          <w:tcPr>
            <w:tcW w:w="419" w:type="dxa"/>
          </w:tcPr>
          <w:p w14:paraId="43749DD2" w14:textId="77777777" w:rsidR="007157A6" w:rsidRPr="007157A6" w:rsidRDefault="007157A6" w:rsidP="007157A6">
            <w:pPr>
              <w:rPr>
                <w:lang w:val="en-GB"/>
              </w:rPr>
            </w:pPr>
          </w:p>
        </w:tc>
      </w:tr>
      <w:tr w:rsidR="007157A6" w:rsidRPr="007157A6" w14:paraId="370BDE9F" w14:textId="77777777" w:rsidTr="00C850ED">
        <w:tc>
          <w:tcPr>
            <w:tcW w:w="8642" w:type="dxa"/>
            <w:vMerge/>
          </w:tcPr>
          <w:p w14:paraId="3F59F7F6" w14:textId="77777777" w:rsidR="007157A6" w:rsidRPr="007157A6" w:rsidRDefault="007157A6" w:rsidP="007157A6">
            <w:pPr>
              <w:rPr>
                <w:lang w:val="en-GB"/>
              </w:rPr>
            </w:pPr>
          </w:p>
        </w:tc>
        <w:tc>
          <w:tcPr>
            <w:tcW w:w="3544" w:type="dxa"/>
          </w:tcPr>
          <w:p w14:paraId="798A8157" w14:textId="77777777" w:rsidR="007157A6" w:rsidRPr="007157A6" w:rsidRDefault="007157A6" w:rsidP="007157A6">
            <w:pPr>
              <w:rPr>
                <w:lang w:val="en-GB"/>
              </w:rPr>
            </w:pPr>
            <w:r w:rsidRPr="007157A6">
              <w:rPr>
                <w:lang w:val="en-GB"/>
              </w:rPr>
              <w:t>Level of ambition</w:t>
            </w:r>
          </w:p>
        </w:tc>
        <w:tc>
          <w:tcPr>
            <w:tcW w:w="418" w:type="dxa"/>
          </w:tcPr>
          <w:p w14:paraId="5190D2CD" w14:textId="77777777" w:rsidR="007157A6" w:rsidRPr="007157A6" w:rsidRDefault="007157A6" w:rsidP="007157A6">
            <w:pPr>
              <w:rPr>
                <w:lang w:val="en-GB"/>
              </w:rPr>
            </w:pPr>
          </w:p>
        </w:tc>
        <w:tc>
          <w:tcPr>
            <w:tcW w:w="418" w:type="dxa"/>
          </w:tcPr>
          <w:p w14:paraId="3BF3E767" w14:textId="77777777" w:rsidR="007157A6" w:rsidRPr="007157A6" w:rsidRDefault="007157A6" w:rsidP="007157A6">
            <w:pPr>
              <w:rPr>
                <w:lang w:val="en-GB"/>
              </w:rPr>
            </w:pPr>
          </w:p>
        </w:tc>
        <w:tc>
          <w:tcPr>
            <w:tcW w:w="418" w:type="dxa"/>
          </w:tcPr>
          <w:p w14:paraId="17012799" w14:textId="77777777" w:rsidR="007157A6" w:rsidRPr="007157A6" w:rsidRDefault="007157A6" w:rsidP="007157A6">
            <w:pPr>
              <w:rPr>
                <w:lang w:val="en-GB"/>
              </w:rPr>
            </w:pPr>
          </w:p>
        </w:tc>
        <w:tc>
          <w:tcPr>
            <w:tcW w:w="418" w:type="dxa"/>
          </w:tcPr>
          <w:p w14:paraId="2258CF82" w14:textId="77777777" w:rsidR="007157A6" w:rsidRPr="007157A6" w:rsidRDefault="007157A6" w:rsidP="007157A6">
            <w:pPr>
              <w:rPr>
                <w:lang w:val="en-GB"/>
              </w:rPr>
            </w:pPr>
          </w:p>
        </w:tc>
        <w:tc>
          <w:tcPr>
            <w:tcW w:w="419" w:type="dxa"/>
          </w:tcPr>
          <w:p w14:paraId="441D672C" w14:textId="77777777" w:rsidR="007157A6" w:rsidRPr="007157A6" w:rsidRDefault="007157A6" w:rsidP="007157A6">
            <w:pPr>
              <w:rPr>
                <w:lang w:val="en-GB"/>
              </w:rPr>
            </w:pPr>
          </w:p>
        </w:tc>
      </w:tr>
      <w:tr w:rsidR="007157A6" w:rsidRPr="007157A6" w14:paraId="29E61825" w14:textId="77777777" w:rsidTr="00C850ED">
        <w:tc>
          <w:tcPr>
            <w:tcW w:w="8642" w:type="dxa"/>
            <w:vMerge/>
          </w:tcPr>
          <w:p w14:paraId="5D685938" w14:textId="77777777" w:rsidR="007157A6" w:rsidRPr="007157A6" w:rsidRDefault="007157A6" w:rsidP="007157A6">
            <w:pPr>
              <w:rPr>
                <w:lang w:val="en-GB"/>
              </w:rPr>
            </w:pPr>
          </w:p>
        </w:tc>
        <w:tc>
          <w:tcPr>
            <w:tcW w:w="3544" w:type="dxa"/>
          </w:tcPr>
          <w:p w14:paraId="0733A2EC" w14:textId="77777777" w:rsidR="007157A6" w:rsidRPr="007157A6" w:rsidRDefault="007157A6" w:rsidP="007157A6">
            <w:pPr>
              <w:rPr>
                <w:lang w:val="en-GB"/>
              </w:rPr>
            </w:pPr>
            <w:r w:rsidRPr="007157A6">
              <w:rPr>
                <w:lang w:val="en-GB"/>
              </w:rPr>
              <w:t>Practicability</w:t>
            </w:r>
          </w:p>
        </w:tc>
        <w:tc>
          <w:tcPr>
            <w:tcW w:w="418" w:type="dxa"/>
          </w:tcPr>
          <w:p w14:paraId="62FDE896" w14:textId="77777777" w:rsidR="007157A6" w:rsidRPr="007157A6" w:rsidRDefault="007157A6" w:rsidP="007157A6">
            <w:pPr>
              <w:rPr>
                <w:lang w:val="en-GB"/>
              </w:rPr>
            </w:pPr>
          </w:p>
        </w:tc>
        <w:tc>
          <w:tcPr>
            <w:tcW w:w="418" w:type="dxa"/>
          </w:tcPr>
          <w:p w14:paraId="41D0ACD1" w14:textId="77777777" w:rsidR="007157A6" w:rsidRPr="007157A6" w:rsidRDefault="007157A6" w:rsidP="007157A6">
            <w:pPr>
              <w:rPr>
                <w:lang w:val="en-GB"/>
              </w:rPr>
            </w:pPr>
          </w:p>
        </w:tc>
        <w:tc>
          <w:tcPr>
            <w:tcW w:w="418" w:type="dxa"/>
          </w:tcPr>
          <w:p w14:paraId="7D829E18" w14:textId="77777777" w:rsidR="007157A6" w:rsidRPr="007157A6" w:rsidRDefault="007157A6" w:rsidP="007157A6">
            <w:pPr>
              <w:rPr>
                <w:lang w:val="en-GB"/>
              </w:rPr>
            </w:pPr>
          </w:p>
        </w:tc>
        <w:tc>
          <w:tcPr>
            <w:tcW w:w="418" w:type="dxa"/>
          </w:tcPr>
          <w:p w14:paraId="16F80C90" w14:textId="77777777" w:rsidR="007157A6" w:rsidRPr="007157A6" w:rsidRDefault="007157A6" w:rsidP="007157A6">
            <w:pPr>
              <w:rPr>
                <w:lang w:val="en-GB"/>
              </w:rPr>
            </w:pPr>
          </w:p>
        </w:tc>
        <w:tc>
          <w:tcPr>
            <w:tcW w:w="419" w:type="dxa"/>
          </w:tcPr>
          <w:p w14:paraId="45069DF2" w14:textId="77777777" w:rsidR="007157A6" w:rsidRPr="007157A6" w:rsidRDefault="007157A6" w:rsidP="007157A6">
            <w:pPr>
              <w:rPr>
                <w:lang w:val="en-GB"/>
              </w:rPr>
            </w:pPr>
          </w:p>
        </w:tc>
      </w:tr>
      <w:tr w:rsidR="007157A6" w:rsidRPr="007157A6" w14:paraId="59371785" w14:textId="77777777" w:rsidTr="00C850ED">
        <w:tc>
          <w:tcPr>
            <w:tcW w:w="8642" w:type="dxa"/>
            <w:vMerge/>
          </w:tcPr>
          <w:p w14:paraId="7B390500" w14:textId="77777777" w:rsidR="007157A6" w:rsidRPr="007157A6" w:rsidRDefault="007157A6" w:rsidP="007157A6">
            <w:pPr>
              <w:rPr>
                <w:lang w:val="en-GB"/>
              </w:rPr>
            </w:pPr>
          </w:p>
        </w:tc>
        <w:tc>
          <w:tcPr>
            <w:tcW w:w="3544" w:type="dxa"/>
          </w:tcPr>
          <w:p w14:paraId="5581CEBB"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FE4ADFA" w14:textId="77777777" w:rsidR="007157A6" w:rsidRPr="007157A6" w:rsidRDefault="007157A6" w:rsidP="007157A6">
            <w:pPr>
              <w:rPr>
                <w:lang w:val="en-GB"/>
              </w:rPr>
            </w:pPr>
          </w:p>
        </w:tc>
        <w:tc>
          <w:tcPr>
            <w:tcW w:w="418" w:type="dxa"/>
          </w:tcPr>
          <w:p w14:paraId="32F34C0D" w14:textId="77777777" w:rsidR="007157A6" w:rsidRPr="007157A6" w:rsidRDefault="007157A6" w:rsidP="007157A6">
            <w:pPr>
              <w:rPr>
                <w:lang w:val="en-GB"/>
              </w:rPr>
            </w:pPr>
          </w:p>
        </w:tc>
        <w:tc>
          <w:tcPr>
            <w:tcW w:w="418" w:type="dxa"/>
          </w:tcPr>
          <w:p w14:paraId="3AB96EDB" w14:textId="77777777" w:rsidR="007157A6" w:rsidRPr="007157A6" w:rsidRDefault="007157A6" w:rsidP="007157A6">
            <w:pPr>
              <w:rPr>
                <w:lang w:val="en-GB"/>
              </w:rPr>
            </w:pPr>
          </w:p>
        </w:tc>
        <w:tc>
          <w:tcPr>
            <w:tcW w:w="418" w:type="dxa"/>
          </w:tcPr>
          <w:p w14:paraId="76DEA31E" w14:textId="77777777" w:rsidR="007157A6" w:rsidRPr="007157A6" w:rsidRDefault="007157A6" w:rsidP="007157A6">
            <w:pPr>
              <w:rPr>
                <w:lang w:val="en-GB"/>
              </w:rPr>
            </w:pPr>
          </w:p>
        </w:tc>
        <w:tc>
          <w:tcPr>
            <w:tcW w:w="419" w:type="dxa"/>
          </w:tcPr>
          <w:p w14:paraId="5624B4C0" w14:textId="77777777" w:rsidR="007157A6" w:rsidRPr="007157A6" w:rsidRDefault="007157A6" w:rsidP="007157A6">
            <w:pPr>
              <w:rPr>
                <w:lang w:val="en-GB"/>
              </w:rPr>
            </w:pPr>
          </w:p>
        </w:tc>
      </w:tr>
      <w:tr w:rsidR="007157A6" w:rsidRPr="007157A6" w14:paraId="4DB1349C" w14:textId="77777777" w:rsidTr="00C850ED">
        <w:tc>
          <w:tcPr>
            <w:tcW w:w="8642" w:type="dxa"/>
            <w:shd w:val="clear" w:color="auto" w:fill="D9D9D9" w:themeFill="background1" w:themeFillShade="D9"/>
          </w:tcPr>
          <w:p w14:paraId="318E2721"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357FE05A"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5CE9B7D"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622FC620"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5DD0B0E9"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2A1FBB14"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E58BF57" w14:textId="77777777" w:rsidR="007157A6" w:rsidRPr="007157A6" w:rsidRDefault="007157A6" w:rsidP="007157A6">
            <w:pPr>
              <w:rPr>
                <w:lang w:val="en-GB"/>
              </w:rPr>
            </w:pPr>
            <w:r w:rsidRPr="007157A6">
              <w:rPr>
                <w:b/>
                <w:lang w:val="en-GB"/>
              </w:rPr>
              <w:t>1</w:t>
            </w:r>
          </w:p>
        </w:tc>
      </w:tr>
      <w:tr w:rsidR="007157A6" w:rsidRPr="007157A6" w14:paraId="66E22575" w14:textId="77777777" w:rsidTr="00C850ED">
        <w:trPr>
          <w:trHeight w:val="1738"/>
        </w:trPr>
        <w:tc>
          <w:tcPr>
            <w:tcW w:w="8642" w:type="dxa"/>
            <w:vMerge w:val="restart"/>
          </w:tcPr>
          <w:p w14:paraId="223C33DE" w14:textId="77777777" w:rsidR="007157A6" w:rsidRPr="007157A6" w:rsidRDefault="007157A6" w:rsidP="00717905">
            <w:pPr>
              <w:rPr>
                <w:rFonts w:ascii="Calibri" w:eastAsia="Calibri" w:hAnsi="Calibri" w:cs="Calibri"/>
                <w:lang w:val="en-GB"/>
              </w:rPr>
            </w:pPr>
            <w:r w:rsidRPr="007157A6">
              <w:rPr>
                <w:rFonts w:ascii="Calibri" w:hAnsi="Calibri"/>
                <w:lang w:val="en-GB"/>
              </w:rPr>
              <w:t>Generally speaking, there still are (in part considerable) obstacles to obtaining sustainability data. This requires taking steps which make it easier for report users to sort through and process relevant sustainability data. At the same time, however, there should be no disproportionate burden on report preparers. Two concrete measures are recommended in this connection:</w:t>
            </w:r>
          </w:p>
          <w:p w14:paraId="7A9E9467" w14:textId="77777777" w:rsidR="007157A6" w:rsidRPr="007157A6" w:rsidRDefault="007157A6" w:rsidP="00717905">
            <w:pPr>
              <w:numPr>
                <w:ilvl w:val="0"/>
                <w:numId w:val="24"/>
              </w:numPr>
              <w:ind w:left="429" w:hanging="180"/>
              <w:contextualSpacing/>
              <w:rPr>
                <w:rFonts w:ascii="Calibri" w:eastAsia="Calibri" w:hAnsi="Calibri" w:cs="Calibri"/>
                <w:lang w:val="en-GB"/>
              </w:rPr>
            </w:pPr>
            <w:r w:rsidRPr="007157A6">
              <w:rPr>
                <w:rFonts w:ascii="Calibri" w:hAnsi="Calibri"/>
                <w:lang w:val="en-GB"/>
              </w:rPr>
              <w:lastRenderedPageBreak/>
              <w:t>The creation of a new raw database for sustainability data which would ideally be managed at European level. Its purpose would be the centralised collection of sustainability data published by companies pursuant to their sustainability reporting obligation. Functional databases help to enhance both the efficiency of disclosures by the real economy as well as access to information for financial market players. These raw data should be widely accessible. It will be necessary to review whether a new database must be built up from scratch or whether existing databases such as the German electronic Federal Gazette, the Transparency Register, CDP, DNK and others should be expanded. In addition, the initiative should be aimed as necessary at the efficient sharing of information between existing databases.</w:t>
            </w:r>
          </w:p>
          <w:p w14:paraId="30B01B92" w14:textId="77777777" w:rsidR="007157A6" w:rsidRPr="007157A6" w:rsidRDefault="007157A6" w:rsidP="00717905">
            <w:pPr>
              <w:numPr>
                <w:ilvl w:val="0"/>
                <w:numId w:val="24"/>
              </w:numPr>
              <w:ind w:left="429" w:hanging="180"/>
              <w:rPr>
                <w:rFonts w:ascii="Calibri" w:eastAsia="Calibri" w:hAnsi="Calibri" w:cs="Calibri"/>
                <w:lang w:val="en-GB"/>
              </w:rPr>
            </w:pPr>
            <w:r w:rsidRPr="007157A6">
              <w:rPr>
                <w:rFonts w:ascii="Calibri" w:hAnsi="Calibri"/>
                <w:lang w:val="en-GB"/>
              </w:rPr>
              <w:t>The Committee recommends the incremental introduction of a standardised, digitised reporting format (e.g. XBRL) is recommended for fulfilling the sustainability reporting obligation in the EU as an additional measure based on Commission Delegated Regulation (EU) 2018/815 respecting “regulatory technical standards on the specification of a single electronic reporting format”. This measure serves first to match sustainability and financial reporting in respect of the format used. It also serves to improve the flow of information between companies and financial market players/databases and, in the long term, to make sustainability data a standard component of companies’ (financial) reporting.</w:t>
            </w:r>
          </w:p>
        </w:tc>
        <w:tc>
          <w:tcPr>
            <w:tcW w:w="3544" w:type="dxa"/>
          </w:tcPr>
          <w:p w14:paraId="6F1E7618"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7EA5708C" w14:textId="77777777" w:rsidR="007157A6" w:rsidRPr="007157A6" w:rsidRDefault="007157A6" w:rsidP="007157A6">
            <w:pPr>
              <w:rPr>
                <w:lang w:val="en-GB"/>
              </w:rPr>
            </w:pPr>
          </w:p>
        </w:tc>
        <w:tc>
          <w:tcPr>
            <w:tcW w:w="418" w:type="dxa"/>
          </w:tcPr>
          <w:p w14:paraId="2BDBB88D" w14:textId="77777777" w:rsidR="007157A6" w:rsidRPr="007157A6" w:rsidRDefault="007157A6" w:rsidP="007157A6">
            <w:pPr>
              <w:rPr>
                <w:lang w:val="en-GB"/>
              </w:rPr>
            </w:pPr>
          </w:p>
        </w:tc>
        <w:tc>
          <w:tcPr>
            <w:tcW w:w="418" w:type="dxa"/>
          </w:tcPr>
          <w:p w14:paraId="2743BF48" w14:textId="77777777" w:rsidR="007157A6" w:rsidRPr="007157A6" w:rsidRDefault="007157A6" w:rsidP="007157A6">
            <w:pPr>
              <w:rPr>
                <w:lang w:val="en-GB"/>
              </w:rPr>
            </w:pPr>
          </w:p>
        </w:tc>
        <w:tc>
          <w:tcPr>
            <w:tcW w:w="418" w:type="dxa"/>
          </w:tcPr>
          <w:p w14:paraId="6D0E00A0" w14:textId="77777777" w:rsidR="007157A6" w:rsidRPr="007157A6" w:rsidRDefault="007157A6" w:rsidP="007157A6">
            <w:pPr>
              <w:rPr>
                <w:lang w:val="en-GB"/>
              </w:rPr>
            </w:pPr>
          </w:p>
        </w:tc>
        <w:tc>
          <w:tcPr>
            <w:tcW w:w="419" w:type="dxa"/>
          </w:tcPr>
          <w:p w14:paraId="4D3AE14D" w14:textId="77777777" w:rsidR="007157A6" w:rsidRPr="007157A6" w:rsidRDefault="007157A6" w:rsidP="007157A6">
            <w:pPr>
              <w:rPr>
                <w:lang w:val="en-GB"/>
              </w:rPr>
            </w:pPr>
          </w:p>
        </w:tc>
      </w:tr>
      <w:tr w:rsidR="007157A6" w:rsidRPr="007157A6" w14:paraId="6CC08EB3" w14:textId="77777777" w:rsidTr="00C850ED">
        <w:trPr>
          <w:trHeight w:val="1738"/>
        </w:trPr>
        <w:tc>
          <w:tcPr>
            <w:tcW w:w="8642" w:type="dxa"/>
            <w:vMerge/>
          </w:tcPr>
          <w:p w14:paraId="0CC3D538" w14:textId="77777777" w:rsidR="007157A6" w:rsidRPr="007157A6" w:rsidRDefault="007157A6" w:rsidP="007157A6">
            <w:pPr>
              <w:rPr>
                <w:lang w:val="en-GB"/>
              </w:rPr>
            </w:pPr>
          </w:p>
        </w:tc>
        <w:tc>
          <w:tcPr>
            <w:tcW w:w="3544" w:type="dxa"/>
          </w:tcPr>
          <w:p w14:paraId="4FD78568" w14:textId="77777777" w:rsidR="007157A6" w:rsidRPr="007157A6" w:rsidRDefault="007157A6" w:rsidP="007157A6">
            <w:pPr>
              <w:rPr>
                <w:lang w:val="en-GB"/>
              </w:rPr>
            </w:pPr>
            <w:r w:rsidRPr="007157A6">
              <w:rPr>
                <w:lang w:val="en-GB"/>
              </w:rPr>
              <w:t>Level of ambition</w:t>
            </w:r>
          </w:p>
        </w:tc>
        <w:tc>
          <w:tcPr>
            <w:tcW w:w="418" w:type="dxa"/>
          </w:tcPr>
          <w:p w14:paraId="1A25CC3D" w14:textId="77777777" w:rsidR="007157A6" w:rsidRPr="007157A6" w:rsidRDefault="007157A6" w:rsidP="007157A6">
            <w:pPr>
              <w:rPr>
                <w:lang w:val="en-GB"/>
              </w:rPr>
            </w:pPr>
          </w:p>
        </w:tc>
        <w:tc>
          <w:tcPr>
            <w:tcW w:w="418" w:type="dxa"/>
          </w:tcPr>
          <w:p w14:paraId="3718F164" w14:textId="77777777" w:rsidR="007157A6" w:rsidRPr="007157A6" w:rsidRDefault="007157A6" w:rsidP="007157A6">
            <w:pPr>
              <w:rPr>
                <w:lang w:val="en-GB"/>
              </w:rPr>
            </w:pPr>
          </w:p>
        </w:tc>
        <w:tc>
          <w:tcPr>
            <w:tcW w:w="418" w:type="dxa"/>
          </w:tcPr>
          <w:p w14:paraId="52F149C4" w14:textId="77777777" w:rsidR="007157A6" w:rsidRPr="007157A6" w:rsidRDefault="007157A6" w:rsidP="007157A6">
            <w:pPr>
              <w:rPr>
                <w:lang w:val="en-GB"/>
              </w:rPr>
            </w:pPr>
          </w:p>
        </w:tc>
        <w:tc>
          <w:tcPr>
            <w:tcW w:w="418" w:type="dxa"/>
          </w:tcPr>
          <w:p w14:paraId="0DA7C623" w14:textId="77777777" w:rsidR="007157A6" w:rsidRPr="007157A6" w:rsidRDefault="007157A6" w:rsidP="007157A6">
            <w:pPr>
              <w:rPr>
                <w:lang w:val="en-GB"/>
              </w:rPr>
            </w:pPr>
          </w:p>
        </w:tc>
        <w:tc>
          <w:tcPr>
            <w:tcW w:w="419" w:type="dxa"/>
          </w:tcPr>
          <w:p w14:paraId="7868EFB3" w14:textId="77777777" w:rsidR="007157A6" w:rsidRPr="007157A6" w:rsidRDefault="007157A6" w:rsidP="007157A6">
            <w:pPr>
              <w:rPr>
                <w:lang w:val="en-GB"/>
              </w:rPr>
            </w:pPr>
          </w:p>
        </w:tc>
      </w:tr>
      <w:tr w:rsidR="007157A6" w:rsidRPr="007157A6" w14:paraId="332AA817" w14:textId="77777777" w:rsidTr="00C850ED">
        <w:trPr>
          <w:trHeight w:val="1738"/>
        </w:trPr>
        <w:tc>
          <w:tcPr>
            <w:tcW w:w="8642" w:type="dxa"/>
            <w:vMerge/>
          </w:tcPr>
          <w:p w14:paraId="322F5FCA" w14:textId="77777777" w:rsidR="007157A6" w:rsidRPr="007157A6" w:rsidRDefault="007157A6" w:rsidP="007157A6">
            <w:pPr>
              <w:rPr>
                <w:lang w:val="en-GB"/>
              </w:rPr>
            </w:pPr>
          </w:p>
        </w:tc>
        <w:tc>
          <w:tcPr>
            <w:tcW w:w="3544" w:type="dxa"/>
          </w:tcPr>
          <w:p w14:paraId="5E7A9E79" w14:textId="77777777" w:rsidR="007157A6" w:rsidRPr="007157A6" w:rsidRDefault="007157A6" w:rsidP="007157A6">
            <w:pPr>
              <w:rPr>
                <w:lang w:val="en-GB"/>
              </w:rPr>
            </w:pPr>
            <w:r w:rsidRPr="007157A6">
              <w:rPr>
                <w:lang w:val="en-GB"/>
              </w:rPr>
              <w:t>Practicability</w:t>
            </w:r>
          </w:p>
        </w:tc>
        <w:tc>
          <w:tcPr>
            <w:tcW w:w="418" w:type="dxa"/>
          </w:tcPr>
          <w:p w14:paraId="211E7CD9" w14:textId="77777777" w:rsidR="007157A6" w:rsidRPr="007157A6" w:rsidRDefault="007157A6" w:rsidP="007157A6">
            <w:pPr>
              <w:rPr>
                <w:lang w:val="en-GB"/>
              </w:rPr>
            </w:pPr>
          </w:p>
        </w:tc>
        <w:tc>
          <w:tcPr>
            <w:tcW w:w="418" w:type="dxa"/>
          </w:tcPr>
          <w:p w14:paraId="29A85219" w14:textId="77777777" w:rsidR="007157A6" w:rsidRPr="007157A6" w:rsidRDefault="007157A6" w:rsidP="007157A6">
            <w:pPr>
              <w:rPr>
                <w:lang w:val="en-GB"/>
              </w:rPr>
            </w:pPr>
          </w:p>
        </w:tc>
        <w:tc>
          <w:tcPr>
            <w:tcW w:w="418" w:type="dxa"/>
          </w:tcPr>
          <w:p w14:paraId="39624493" w14:textId="77777777" w:rsidR="007157A6" w:rsidRPr="007157A6" w:rsidRDefault="007157A6" w:rsidP="007157A6">
            <w:pPr>
              <w:rPr>
                <w:lang w:val="en-GB"/>
              </w:rPr>
            </w:pPr>
          </w:p>
        </w:tc>
        <w:tc>
          <w:tcPr>
            <w:tcW w:w="418" w:type="dxa"/>
          </w:tcPr>
          <w:p w14:paraId="09ED9DC9" w14:textId="77777777" w:rsidR="007157A6" w:rsidRPr="007157A6" w:rsidRDefault="007157A6" w:rsidP="007157A6">
            <w:pPr>
              <w:rPr>
                <w:lang w:val="en-GB"/>
              </w:rPr>
            </w:pPr>
          </w:p>
        </w:tc>
        <w:tc>
          <w:tcPr>
            <w:tcW w:w="419" w:type="dxa"/>
          </w:tcPr>
          <w:p w14:paraId="7BCAEE73" w14:textId="77777777" w:rsidR="007157A6" w:rsidRPr="007157A6" w:rsidRDefault="007157A6" w:rsidP="007157A6">
            <w:pPr>
              <w:rPr>
                <w:lang w:val="en-GB"/>
              </w:rPr>
            </w:pPr>
          </w:p>
        </w:tc>
      </w:tr>
      <w:tr w:rsidR="007157A6" w:rsidRPr="007157A6" w14:paraId="10C5F4A7" w14:textId="77777777" w:rsidTr="00C850ED">
        <w:trPr>
          <w:trHeight w:val="1738"/>
        </w:trPr>
        <w:tc>
          <w:tcPr>
            <w:tcW w:w="8642" w:type="dxa"/>
            <w:vMerge/>
          </w:tcPr>
          <w:p w14:paraId="067F4D01" w14:textId="77777777" w:rsidR="007157A6" w:rsidRPr="007157A6" w:rsidRDefault="007157A6" w:rsidP="007157A6">
            <w:pPr>
              <w:rPr>
                <w:lang w:val="en-GB"/>
              </w:rPr>
            </w:pPr>
          </w:p>
        </w:tc>
        <w:tc>
          <w:tcPr>
            <w:tcW w:w="3544" w:type="dxa"/>
          </w:tcPr>
          <w:p w14:paraId="5CB9E040"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1DCDCA0" w14:textId="77777777" w:rsidR="007157A6" w:rsidRPr="007157A6" w:rsidRDefault="007157A6" w:rsidP="007157A6">
            <w:pPr>
              <w:rPr>
                <w:lang w:val="en-GB"/>
              </w:rPr>
            </w:pPr>
          </w:p>
        </w:tc>
        <w:tc>
          <w:tcPr>
            <w:tcW w:w="418" w:type="dxa"/>
          </w:tcPr>
          <w:p w14:paraId="7108DD1C" w14:textId="77777777" w:rsidR="007157A6" w:rsidRPr="007157A6" w:rsidRDefault="007157A6" w:rsidP="007157A6">
            <w:pPr>
              <w:rPr>
                <w:lang w:val="en-GB"/>
              </w:rPr>
            </w:pPr>
          </w:p>
        </w:tc>
        <w:tc>
          <w:tcPr>
            <w:tcW w:w="418" w:type="dxa"/>
          </w:tcPr>
          <w:p w14:paraId="7C176617" w14:textId="77777777" w:rsidR="007157A6" w:rsidRPr="007157A6" w:rsidRDefault="007157A6" w:rsidP="007157A6">
            <w:pPr>
              <w:rPr>
                <w:lang w:val="en-GB"/>
              </w:rPr>
            </w:pPr>
          </w:p>
        </w:tc>
        <w:tc>
          <w:tcPr>
            <w:tcW w:w="418" w:type="dxa"/>
          </w:tcPr>
          <w:p w14:paraId="28B4885A" w14:textId="77777777" w:rsidR="007157A6" w:rsidRPr="007157A6" w:rsidRDefault="007157A6" w:rsidP="007157A6">
            <w:pPr>
              <w:rPr>
                <w:lang w:val="en-GB"/>
              </w:rPr>
            </w:pPr>
          </w:p>
        </w:tc>
        <w:tc>
          <w:tcPr>
            <w:tcW w:w="419" w:type="dxa"/>
          </w:tcPr>
          <w:p w14:paraId="30DFB23F" w14:textId="77777777" w:rsidR="007157A6" w:rsidRPr="007157A6" w:rsidRDefault="007157A6" w:rsidP="007157A6">
            <w:pPr>
              <w:rPr>
                <w:lang w:val="en-GB"/>
              </w:rPr>
            </w:pPr>
          </w:p>
        </w:tc>
      </w:tr>
      <w:tr w:rsidR="007157A6" w:rsidRPr="007157A6" w14:paraId="09F48EFA" w14:textId="77777777" w:rsidTr="00C850ED">
        <w:tc>
          <w:tcPr>
            <w:tcW w:w="8642" w:type="dxa"/>
            <w:shd w:val="clear" w:color="auto" w:fill="D9D9D9" w:themeFill="background1" w:themeFillShade="D9"/>
          </w:tcPr>
          <w:p w14:paraId="15477560"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716E9B05"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3B3E0308"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55071941"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0C60BA2B"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75D2B825"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2FEF49F2" w14:textId="77777777" w:rsidR="007157A6" w:rsidRPr="007157A6" w:rsidRDefault="007157A6" w:rsidP="007157A6">
            <w:pPr>
              <w:rPr>
                <w:b/>
                <w:lang w:val="en-GB"/>
              </w:rPr>
            </w:pPr>
            <w:r w:rsidRPr="007157A6">
              <w:rPr>
                <w:b/>
                <w:lang w:val="en-GB"/>
              </w:rPr>
              <w:t>1</w:t>
            </w:r>
          </w:p>
        </w:tc>
      </w:tr>
      <w:tr w:rsidR="007157A6" w:rsidRPr="007157A6" w14:paraId="71D04D60" w14:textId="77777777" w:rsidTr="00C850ED">
        <w:tc>
          <w:tcPr>
            <w:tcW w:w="8642" w:type="dxa"/>
            <w:vMerge w:val="restart"/>
          </w:tcPr>
          <w:p w14:paraId="061DB9EE" w14:textId="77777777" w:rsidR="007157A6" w:rsidRPr="007157A6" w:rsidRDefault="007157A6" w:rsidP="007157A6">
            <w:pPr>
              <w:rPr>
                <w:lang w:val="en-GB"/>
              </w:rPr>
            </w:pPr>
            <w:r w:rsidRPr="007157A6">
              <w:rPr>
                <w:lang w:val="en-GB"/>
              </w:rPr>
              <w:t>Incrementally expand the disclosure of sustainability data of unlisted companies and SMEs.</w:t>
            </w:r>
          </w:p>
        </w:tc>
        <w:tc>
          <w:tcPr>
            <w:tcW w:w="3544" w:type="dxa"/>
          </w:tcPr>
          <w:p w14:paraId="3D72A046" w14:textId="77777777" w:rsidR="007157A6" w:rsidRPr="007157A6" w:rsidRDefault="007157A6" w:rsidP="007157A6">
            <w:pPr>
              <w:rPr>
                <w:lang w:val="en-GB"/>
              </w:rPr>
            </w:pPr>
            <w:r w:rsidRPr="007157A6">
              <w:rPr>
                <w:lang w:val="en-GB"/>
              </w:rPr>
              <w:t>Will foster Sustainable Finance in Germany</w:t>
            </w:r>
          </w:p>
        </w:tc>
        <w:tc>
          <w:tcPr>
            <w:tcW w:w="418" w:type="dxa"/>
          </w:tcPr>
          <w:p w14:paraId="717B7BD6" w14:textId="77777777" w:rsidR="007157A6" w:rsidRPr="007157A6" w:rsidRDefault="007157A6" w:rsidP="007157A6">
            <w:pPr>
              <w:rPr>
                <w:lang w:val="en-GB"/>
              </w:rPr>
            </w:pPr>
          </w:p>
        </w:tc>
        <w:tc>
          <w:tcPr>
            <w:tcW w:w="418" w:type="dxa"/>
          </w:tcPr>
          <w:p w14:paraId="294ABBDA" w14:textId="77777777" w:rsidR="007157A6" w:rsidRPr="007157A6" w:rsidRDefault="007157A6" w:rsidP="007157A6">
            <w:pPr>
              <w:rPr>
                <w:lang w:val="en-GB"/>
              </w:rPr>
            </w:pPr>
          </w:p>
        </w:tc>
        <w:tc>
          <w:tcPr>
            <w:tcW w:w="418" w:type="dxa"/>
          </w:tcPr>
          <w:p w14:paraId="33155E75" w14:textId="77777777" w:rsidR="007157A6" w:rsidRPr="007157A6" w:rsidRDefault="007157A6" w:rsidP="007157A6">
            <w:pPr>
              <w:rPr>
                <w:lang w:val="en-GB"/>
              </w:rPr>
            </w:pPr>
          </w:p>
        </w:tc>
        <w:tc>
          <w:tcPr>
            <w:tcW w:w="418" w:type="dxa"/>
          </w:tcPr>
          <w:p w14:paraId="55D57430" w14:textId="77777777" w:rsidR="007157A6" w:rsidRPr="007157A6" w:rsidRDefault="007157A6" w:rsidP="007157A6">
            <w:pPr>
              <w:rPr>
                <w:lang w:val="en-GB"/>
              </w:rPr>
            </w:pPr>
          </w:p>
        </w:tc>
        <w:tc>
          <w:tcPr>
            <w:tcW w:w="419" w:type="dxa"/>
          </w:tcPr>
          <w:p w14:paraId="78D72C6D" w14:textId="77777777" w:rsidR="007157A6" w:rsidRPr="007157A6" w:rsidRDefault="007157A6" w:rsidP="007157A6">
            <w:pPr>
              <w:rPr>
                <w:lang w:val="en-GB"/>
              </w:rPr>
            </w:pPr>
          </w:p>
        </w:tc>
      </w:tr>
      <w:tr w:rsidR="007157A6" w:rsidRPr="007157A6" w14:paraId="6803F86E" w14:textId="77777777" w:rsidTr="00C850ED">
        <w:tc>
          <w:tcPr>
            <w:tcW w:w="8642" w:type="dxa"/>
            <w:vMerge/>
          </w:tcPr>
          <w:p w14:paraId="5F355EC6" w14:textId="77777777" w:rsidR="007157A6" w:rsidRPr="007157A6" w:rsidRDefault="007157A6" w:rsidP="007157A6">
            <w:pPr>
              <w:rPr>
                <w:lang w:val="en-GB"/>
              </w:rPr>
            </w:pPr>
          </w:p>
        </w:tc>
        <w:tc>
          <w:tcPr>
            <w:tcW w:w="3544" w:type="dxa"/>
          </w:tcPr>
          <w:p w14:paraId="1D81B85C" w14:textId="77777777" w:rsidR="007157A6" w:rsidRPr="007157A6" w:rsidRDefault="007157A6" w:rsidP="007157A6">
            <w:pPr>
              <w:rPr>
                <w:lang w:val="en-GB"/>
              </w:rPr>
            </w:pPr>
            <w:r w:rsidRPr="007157A6">
              <w:rPr>
                <w:lang w:val="en-GB"/>
              </w:rPr>
              <w:t>Level of ambition</w:t>
            </w:r>
          </w:p>
        </w:tc>
        <w:tc>
          <w:tcPr>
            <w:tcW w:w="418" w:type="dxa"/>
          </w:tcPr>
          <w:p w14:paraId="148A6084" w14:textId="77777777" w:rsidR="007157A6" w:rsidRPr="007157A6" w:rsidRDefault="007157A6" w:rsidP="007157A6">
            <w:pPr>
              <w:rPr>
                <w:lang w:val="en-GB"/>
              </w:rPr>
            </w:pPr>
          </w:p>
        </w:tc>
        <w:tc>
          <w:tcPr>
            <w:tcW w:w="418" w:type="dxa"/>
          </w:tcPr>
          <w:p w14:paraId="1BA5592F" w14:textId="77777777" w:rsidR="007157A6" w:rsidRPr="007157A6" w:rsidRDefault="007157A6" w:rsidP="007157A6">
            <w:pPr>
              <w:rPr>
                <w:lang w:val="en-GB"/>
              </w:rPr>
            </w:pPr>
          </w:p>
        </w:tc>
        <w:tc>
          <w:tcPr>
            <w:tcW w:w="418" w:type="dxa"/>
          </w:tcPr>
          <w:p w14:paraId="315B2084" w14:textId="77777777" w:rsidR="007157A6" w:rsidRPr="007157A6" w:rsidRDefault="007157A6" w:rsidP="007157A6">
            <w:pPr>
              <w:rPr>
                <w:lang w:val="en-GB"/>
              </w:rPr>
            </w:pPr>
          </w:p>
        </w:tc>
        <w:tc>
          <w:tcPr>
            <w:tcW w:w="418" w:type="dxa"/>
          </w:tcPr>
          <w:p w14:paraId="0FFB2386" w14:textId="77777777" w:rsidR="007157A6" w:rsidRPr="007157A6" w:rsidRDefault="007157A6" w:rsidP="007157A6">
            <w:pPr>
              <w:rPr>
                <w:lang w:val="en-GB"/>
              </w:rPr>
            </w:pPr>
          </w:p>
        </w:tc>
        <w:tc>
          <w:tcPr>
            <w:tcW w:w="419" w:type="dxa"/>
          </w:tcPr>
          <w:p w14:paraId="308E8EAB" w14:textId="77777777" w:rsidR="007157A6" w:rsidRPr="007157A6" w:rsidRDefault="007157A6" w:rsidP="007157A6">
            <w:pPr>
              <w:rPr>
                <w:lang w:val="en-GB"/>
              </w:rPr>
            </w:pPr>
          </w:p>
        </w:tc>
      </w:tr>
      <w:tr w:rsidR="007157A6" w:rsidRPr="007157A6" w14:paraId="09AB9BE5" w14:textId="77777777" w:rsidTr="00C850ED">
        <w:tc>
          <w:tcPr>
            <w:tcW w:w="8642" w:type="dxa"/>
            <w:vMerge/>
          </w:tcPr>
          <w:p w14:paraId="7B5E8AA5" w14:textId="77777777" w:rsidR="007157A6" w:rsidRPr="007157A6" w:rsidRDefault="007157A6" w:rsidP="007157A6">
            <w:pPr>
              <w:rPr>
                <w:lang w:val="en-GB"/>
              </w:rPr>
            </w:pPr>
          </w:p>
        </w:tc>
        <w:tc>
          <w:tcPr>
            <w:tcW w:w="3544" w:type="dxa"/>
          </w:tcPr>
          <w:p w14:paraId="74F9D15A" w14:textId="77777777" w:rsidR="007157A6" w:rsidRPr="007157A6" w:rsidRDefault="007157A6" w:rsidP="007157A6">
            <w:pPr>
              <w:rPr>
                <w:lang w:val="en-GB"/>
              </w:rPr>
            </w:pPr>
            <w:r w:rsidRPr="007157A6">
              <w:rPr>
                <w:lang w:val="en-GB"/>
              </w:rPr>
              <w:t>Practicability</w:t>
            </w:r>
          </w:p>
        </w:tc>
        <w:tc>
          <w:tcPr>
            <w:tcW w:w="418" w:type="dxa"/>
          </w:tcPr>
          <w:p w14:paraId="2EE15BD0" w14:textId="77777777" w:rsidR="007157A6" w:rsidRPr="007157A6" w:rsidRDefault="007157A6" w:rsidP="007157A6">
            <w:pPr>
              <w:rPr>
                <w:lang w:val="en-GB"/>
              </w:rPr>
            </w:pPr>
          </w:p>
        </w:tc>
        <w:tc>
          <w:tcPr>
            <w:tcW w:w="418" w:type="dxa"/>
          </w:tcPr>
          <w:p w14:paraId="168C069E" w14:textId="77777777" w:rsidR="007157A6" w:rsidRPr="007157A6" w:rsidRDefault="007157A6" w:rsidP="007157A6">
            <w:pPr>
              <w:rPr>
                <w:lang w:val="en-GB"/>
              </w:rPr>
            </w:pPr>
          </w:p>
        </w:tc>
        <w:tc>
          <w:tcPr>
            <w:tcW w:w="418" w:type="dxa"/>
          </w:tcPr>
          <w:p w14:paraId="14E69CE4" w14:textId="77777777" w:rsidR="007157A6" w:rsidRPr="007157A6" w:rsidRDefault="007157A6" w:rsidP="007157A6">
            <w:pPr>
              <w:rPr>
                <w:lang w:val="en-GB"/>
              </w:rPr>
            </w:pPr>
          </w:p>
        </w:tc>
        <w:tc>
          <w:tcPr>
            <w:tcW w:w="418" w:type="dxa"/>
          </w:tcPr>
          <w:p w14:paraId="6E1D80DC" w14:textId="77777777" w:rsidR="007157A6" w:rsidRPr="007157A6" w:rsidRDefault="007157A6" w:rsidP="007157A6">
            <w:pPr>
              <w:rPr>
                <w:lang w:val="en-GB"/>
              </w:rPr>
            </w:pPr>
          </w:p>
        </w:tc>
        <w:tc>
          <w:tcPr>
            <w:tcW w:w="419" w:type="dxa"/>
          </w:tcPr>
          <w:p w14:paraId="7CE5744D" w14:textId="77777777" w:rsidR="007157A6" w:rsidRPr="007157A6" w:rsidRDefault="007157A6" w:rsidP="007157A6">
            <w:pPr>
              <w:rPr>
                <w:lang w:val="en-GB"/>
              </w:rPr>
            </w:pPr>
          </w:p>
        </w:tc>
      </w:tr>
      <w:tr w:rsidR="007157A6" w:rsidRPr="007157A6" w14:paraId="7122ED0D" w14:textId="77777777" w:rsidTr="00C850ED">
        <w:tc>
          <w:tcPr>
            <w:tcW w:w="8642" w:type="dxa"/>
            <w:vMerge/>
          </w:tcPr>
          <w:p w14:paraId="178865A7" w14:textId="77777777" w:rsidR="007157A6" w:rsidRPr="007157A6" w:rsidRDefault="007157A6" w:rsidP="007157A6">
            <w:pPr>
              <w:rPr>
                <w:lang w:val="en-GB"/>
              </w:rPr>
            </w:pPr>
          </w:p>
        </w:tc>
        <w:tc>
          <w:tcPr>
            <w:tcW w:w="3544" w:type="dxa"/>
          </w:tcPr>
          <w:p w14:paraId="66B079C1"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B3BC2E6" w14:textId="77777777" w:rsidR="007157A6" w:rsidRPr="007157A6" w:rsidRDefault="007157A6" w:rsidP="007157A6">
            <w:pPr>
              <w:rPr>
                <w:lang w:val="en-GB"/>
              </w:rPr>
            </w:pPr>
          </w:p>
        </w:tc>
        <w:tc>
          <w:tcPr>
            <w:tcW w:w="418" w:type="dxa"/>
          </w:tcPr>
          <w:p w14:paraId="5EB0A69A" w14:textId="77777777" w:rsidR="007157A6" w:rsidRPr="007157A6" w:rsidRDefault="007157A6" w:rsidP="007157A6">
            <w:pPr>
              <w:rPr>
                <w:lang w:val="en-GB"/>
              </w:rPr>
            </w:pPr>
          </w:p>
        </w:tc>
        <w:tc>
          <w:tcPr>
            <w:tcW w:w="418" w:type="dxa"/>
          </w:tcPr>
          <w:p w14:paraId="39F452DD" w14:textId="77777777" w:rsidR="007157A6" w:rsidRPr="007157A6" w:rsidRDefault="007157A6" w:rsidP="007157A6">
            <w:pPr>
              <w:rPr>
                <w:lang w:val="en-GB"/>
              </w:rPr>
            </w:pPr>
          </w:p>
        </w:tc>
        <w:tc>
          <w:tcPr>
            <w:tcW w:w="418" w:type="dxa"/>
          </w:tcPr>
          <w:p w14:paraId="6D1BB7DB" w14:textId="77777777" w:rsidR="007157A6" w:rsidRPr="007157A6" w:rsidRDefault="007157A6" w:rsidP="007157A6">
            <w:pPr>
              <w:rPr>
                <w:lang w:val="en-GB"/>
              </w:rPr>
            </w:pPr>
          </w:p>
        </w:tc>
        <w:tc>
          <w:tcPr>
            <w:tcW w:w="419" w:type="dxa"/>
          </w:tcPr>
          <w:p w14:paraId="5B694903" w14:textId="77777777" w:rsidR="007157A6" w:rsidRPr="007157A6" w:rsidRDefault="007157A6" w:rsidP="007157A6">
            <w:pPr>
              <w:rPr>
                <w:lang w:val="en-GB"/>
              </w:rPr>
            </w:pPr>
          </w:p>
        </w:tc>
      </w:tr>
      <w:tr w:rsidR="007157A6" w:rsidRPr="007157A6" w14:paraId="372C8DEB" w14:textId="77777777" w:rsidTr="00C850ED">
        <w:tc>
          <w:tcPr>
            <w:tcW w:w="8642" w:type="dxa"/>
            <w:shd w:val="clear" w:color="auto" w:fill="D9D9D9" w:themeFill="background1" w:themeFillShade="D9"/>
          </w:tcPr>
          <w:p w14:paraId="63ECFA51"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54BD32A"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8F0AEA7"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6468FF94"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2B21B279"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46C8A067"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9BE5E18" w14:textId="77777777" w:rsidR="007157A6" w:rsidRPr="007157A6" w:rsidRDefault="007157A6" w:rsidP="007157A6">
            <w:pPr>
              <w:rPr>
                <w:lang w:val="en-GB"/>
              </w:rPr>
            </w:pPr>
            <w:r w:rsidRPr="007157A6">
              <w:rPr>
                <w:b/>
                <w:lang w:val="en-GB"/>
              </w:rPr>
              <w:t>1</w:t>
            </w:r>
          </w:p>
        </w:tc>
      </w:tr>
      <w:tr w:rsidR="007157A6" w:rsidRPr="007157A6" w14:paraId="18FEE712" w14:textId="77777777" w:rsidTr="00C850ED">
        <w:trPr>
          <w:trHeight w:val="537"/>
        </w:trPr>
        <w:tc>
          <w:tcPr>
            <w:tcW w:w="8642" w:type="dxa"/>
            <w:vMerge w:val="restart"/>
          </w:tcPr>
          <w:p w14:paraId="434D49FC" w14:textId="77777777" w:rsidR="007157A6" w:rsidRPr="007157A6" w:rsidRDefault="007157A6" w:rsidP="007157A6">
            <w:pPr>
              <w:rPr>
                <w:lang w:val="en-GB"/>
              </w:rPr>
            </w:pPr>
            <w:r w:rsidRPr="007157A6">
              <w:rPr>
                <w:lang w:val="en-GB"/>
              </w:rPr>
              <w:t xml:space="preserve">Small and medium-size enterprises (SMEs) play an important role in Germany’s economy. It is necessary therefore to encourage especially SMEs to disclose sustainability data. Efforts to turn Germany into the leading centre for sustainable finance also depend on whether all key players in the country commit to these guiding principles and participate in establishing and </w:t>
            </w:r>
            <w:r w:rsidRPr="007157A6">
              <w:rPr>
                <w:lang w:val="en-GB"/>
              </w:rPr>
              <w:lastRenderedPageBreak/>
              <w:t>expanding the country’s envisioned role. This requires taking adequate steps – with respect to the measures specified herein – jointly with important institutions such as the German Chamber of Industry and Commerce (DIHK) and financial market players engaged particularly in promoting SMEs, so that the latter will continuously broaden their disclosures of sustainability data.</w:t>
            </w:r>
          </w:p>
        </w:tc>
        <w:tc>
          <w:tcPr>
            <w:tcW w:w="3544" w:type="dxa"/>
          </w:tcPr>
          <w:p w14:paraId="071C2BAE"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5EC47199" w14:textId="77777777" w:rsidR="007157A6" w:rsidRPr="007157A6" w:rsidRDefault="007157A6" w:rsidP="007157A6">
            <w:pPr>
              <w:rPr>
                <w:lang w:val="en-GB"/>
              </w:rPr>
            </w:pPr>
          </w:p>
        </w:tc>
        <w:tc>
          <w:tcPr>
            <w:tcW w:w="418" w:type="dxa"/>
          </w:tcPr>
          <w:p w14:paraId="3146EE0C" w14:textId="77777777" w:rsidR="007157A6" w:rsidRPr="007157A6" w:rsidRDefault="007157A6" w:rsidP="007157A6">
            <w:pPr>
              <w:rPr>
                <w:lang w:val="en-GB"/>
              </w:rPr>
            </w:pPr>
          </w:p>
        </w:tc>
        <w:tc>
          <w:tcPr>
            <w:tcW w:w="418" w:type="dxa"/>
          </w:tcPr>
          <w:p w14:paraId="092718AE" w14:textId="77777777" w:rsidR="007157A6" w:rsidRPr="007157A6" w:rsidRDefault="007157A6" w:rsidP="007157A6">
            <w:pPr>
              <w:rPr>
                <w:lang w:val="en-GB"/>
              </w:rPr>
            </w:pPr>
          </w:p>
        </w:tc>
        <w:tc>
          <w:tcPr>
            <w:tcW w:w="418" w:type="dxa"/>
          </w:tcPr>
          <w:p w14:paraId="3BEA8847" w14:textId="77777777" w:rsidR="007157A6" w:rsidRPr="007157A6" w:rsidRDefault="007157A6" w:rsidP="007157A6">
            <w:pPr>
              <w:rPr>
                <w:lang w:val="en-GB"/>
              </w:rPr>
            </w:pPr>
          </w:p>
        </w:tc>
        <w:tc>
          <w:tcPr>
            <w:tcW w:w="419" w:type="dxa"/>
          </w:tcPr>
          <w:p w14:paraId="2F7AE70F" w14:textId="77777777" w:rsidR="007157A6" w:rsidRPr="007157A6" w:rsidRDefault="007157A6" w:rsidP="007157A6">
            <w:pPr>
              <w:rPr>
                <w:lang w:val="en-GB"/>
              </w:rPr>
            </w:pPr>
          </w:p>
        </w:tc>
      </w:tr>
      <w:tr w:rsidR="007157A6" w:rsidRPr="007157A6" w14:paraId="283ED1D0" w14:textId="77777777" w:rsidTr="00C850ED">
        <w:trPr>
          <w:trHeight w:val="537"/>
        </w:trPr>
        <w:tc>
          <w:tcPr>
            <w:tcW w:w="8642" w:type="dxa"/>
            <w:vMerge/>
          </w:tcPr>
          <w:p w14:paraId="05F34EFF" w14:textId="77777777" w:rsidR="007157A6" w:rsidRPr="007157A6" w:rsidRDefault="007157A6" w:rsidP="007157A6">
            <w:pPr>
              <w:rPr>
                <w:lang w:val="en-GB"/>
              </w:rPr>
            </w:pPr>
          </w:p>
        </w:tc>
        <w:tc>
          <w:tcPr>
            <w:tcW w:w="3544" w:type="dxa"/>
          </w:tcPr>
          <w:p w14:paraId="622A3B9D" w14:textId="77777777" w:rsidR="007157A6" w:rsidRPr="007157A6" w:rsidRDefault="007157A6" w:rsidP="007157A6">
            <w:pPr>
              <w:rPr>
                <w:lang w:val="en-GB"/>
              </w:rPr>
            </w:pPr>
            <w:r w:rsidRPr="007157A6">
              <w:rPr>
                <w:lang w:val="en-GB"/>
              </w:rPr>
              <w:t>Level of ambition</w:t>
            </w:r>
          </w:p>
        </w:tc>
        <w:tc>
          <w:tcPr>
            <w:tcW w:w="418" w:type="dxa"/>
          </w:tcPr>
          <w:p w14:paraId="093DF1F8" w14:textId="77777777" w:rsidR="007157A6" w:rsidRPr="007157A6" w:rsidRDefault="007157A6" w:rsidP="007157A6">
            <w:pPr>
              <w:rPr>
                <w:lang w:val="en-GB"/>
              </w:rPr>
            </w:pPr>
          </w:p>
        </w:tc>
        <w:tc>
          <w:tcPr>
            <w:tcW w:w="418" w:type="dxa"/>
          </w:tcPr>
          <w:p w14:paraId="28787B35" w14:textId="77777777" w:rsidR="007157A6" w:rsidRPr="007157A6" w:rsidRDefault="007157A6" w:rsidP="007157A6">
            <w:pPr>
              <w:rPr>
                <w:lang w:val="en-GB"/>
              </w:rPr>
            </w:pPr>
          </w:p>
        </w:tc>
        <w:tc>
          <w:tcPr>
            <w:tcW w:w="418" w:type="dxa"/>
          </w:tcPr>
          <w:p w14:paraId="311B5800" w14:textId="77777777" w:rsidR="007157A6" w:rsidRPr="007157A6" w:rsidRDefault="007157A6" w:rsidP="007157A6">
            <w:pPr>
              <w:rPr>
                <w:lang w:val="en-GB"/>
              </w:rPr>
            </w:pPr>
          </w:p>
        </w:tc>
        <w:tc>
          <w:tcPr>
            <w:tcW w:w="418" w:type="dxa"/>
          </w:tcPr>
          <w:p w14:paraId="010BD73D" w14:textId="77777777" w:rsidR="007157A6" w:rsidRPr="007157A6" w:rsidRDefault="007157A6" w:rsidP="007157A6">
            <w:pPr>
              <w:rPr>
                <w:lang w:val="en-GB"/>
              </w:rPr>
            </w:pPr>
          </w:p>
        </w:tc>
        <w:tc>
          <w:tcPr>
            <w:tcW w:w="419" w:type="dxa"/>
          </w:tcPr>
          <w:p w14:paraId="3E4CED77" w14:textId="77777777" w:rsidR="007157A6" w:rsidRPr="007157A6" w:rsidRDefault="007157A6" w:rsidP="007157A6">
            <w:pPr>
              <w:rPr>
                <w:lang w:val="en-GB"/>
              </w:rPr>
            </w:pPr>
          </w:p>
        </w:tc>
      </w:tr>
      <w:tr w:rsidR="007157A6" w:rsidRPr="007157A6" w14:paraId="34BB8A1B" w14:textId="77777777" w:rsidTr="00C850ED">
        <w:trPr>
          <w:trHeight w:val="537"/>
        </w:trPr>
        <w:tc>
          <w:tcPr>
            <w:tcW w:w="8642" w:type="dxa"/>
            <w:vMerge/>
          </w:tcPr>
          <w:p w14:paraId="0D03E6DE" w14:textId="77777777" w:rsidR="007157A6" w:rsidRPr="007157A6" w:rsidRDefault="007157A6" w:rsidP="007157A6">
            <w:pPr>
              <w:rPr>
                <w:lang w:val="en-GB"/>
              </w:rPr>
            </w:pPr>
          </w:p>
        </w:tc>
        <w:tc>
          <w:tcPr>
            <w:tcW w:w="3544" w:type="dxa"/>
          </w:tcPr>
          <w:p w14:paraId="69BC7F01" w14:textId="77777777" w:rsidR="007157A6" w:rsidRPr="007157A6" w:rsidRDefault="007157A6" w:rsidP="007157A6">
            <w:pPr>
              <w:rPr>
                <w:lang w:val="en-GB"/>
              </w:rPr>
            </w:pPr>
            <w:r w:rsidRPr="007157A6">
              <w:rPr>
                <w:lang w:val="en-GB"/>
              </w:rPr>
              <w:t>Practicability</w:t>
            </w:r>
          </w:p>
        </w:tc>
        <w:tc>
          <w:tcPr>
            <w:tcW w:w="418" w:type="dxa"/>
          </w:tcPr>
          <w:p w14:paraId="7F613794" w14:textId="77777777" w:rsidR="007157A6" w:rsidRPr="007157A6" w:rsidRDefault="007157A6" w:rsidP="007157A6">
            <w:pPr>
              <w:rPr>
                <w:lang w:val="en-GB"/>
              </w:rPr>
            </w:pPr>
          </w:p>
        </w:tc>
        <w:tc>
          <w:tcPr>
            <w:tcW w:w="418" w:type="dxa"/>
          </w:tcPr>
          <w:p w14:paraId="4F9E3063" w14:textId="77777777" w:rsidR="007157A6" w:rsidRPr="007157A6" w:rsidRDefault="007157A6" w:rsidP="007157A6">
            <w:pPr>
              <w:rPr>
                <w:lang w:val="en-GB"/>
              </w:rPr>
            </w:pPr>
          </w:p>
        </w:tc>
        <w:tc>
          <w:tcPr>
            <w:tcW w:w="418" w:type="dxa"/>
          </w:tcPr>
          <w:p w14:paraId="02B3171E" w14:textId="77777777" w:rsidR="007157A6" w:rsidRPr="007157A6" w:rsidRDefault="007157A6" w:rsidP="007157A6">
            <w:pPr>
              <w:rPr>
                <w:lang w:val="en-GB"/>
              </w:rPr>
            </w:pPr>
          </w:p>
        </w:tc>
        <w:tc>
          <w:tcPr>
            <w:tcW w:w="418" w:type="dxa"/>
          </w:tcPr>
          <w:p w14:paraId="2B8A8283" w14:textId="77777777" w:rsidR="007157A6" w:rsidRPr="007157A6" w:rsidRDefault="007157A6" w:rsidP="007157A6">
            <w:pPr>
              <w:rPr>
                <w:lang w:val="en-GB"/>
              </w:rPr>
            </w:pPr>
          </w:p>
        </w:tc>
        <w:tc>
          <w:tcPr>
            <w:tcW w:w="419" w:type="dxa"/>
          </w:tcPr>
          <w:p w14:paraId="7BBDA04C" w14:textId="77777777" w:rsidR="007157A6" w:rsidRPr="007157A6" w:rsidRDefault="007157A6" w:rsidP="007157A6">
            <w:pPr>
              <w:rPr>
                <w:lang w:val="en-GB"/>
              </w:rPr>
            </w:pPr>
          </w:p>
        </w:tc>
      </w:tr>
      <w:tr w:rsidR="007157A6" w:rsidRPr="007157A6" w14:paraId="1C0B3E2E" w14:textId="77777777" w:rsidTr="00C850ED">
        <w:trPr>
          <w:trHeight w:val="537"/>
        </w:trPr>
        <w:tc>
          <w:tcPr>
            <w:tcW w:w="8642" w:type="dxa"/>
            <w:vMerge/>
          </w:tcPr>
          <w:p w14:paraId="19AE0973" w14:textId="77777777" w:rsidR="007157A6" w:rsidRPr="007157A6" w:rsidRDefault="007157A6" w:rsidP="007157A6">
            <w:pPr>
              <w:rPr>
                <w:lang w:val="en-GB"/>
              </w:rPr>
            </w:pPr>
          </w:p>
        </w:tc>
        <w:tc>
          <w:tcPr>
            <w:tcW w:w="3544" w:type="dxa"/>
          </w:tcPr>
          <w:p w14:paraId="44AD39DF"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4920996" w14:textId="77777777" w:rsidR="007157A6" w:rsidRPr="007157A6" w:rsidRDefault="007157A6" w:rsidP="007157A6">
            <w:pPr>
              <w:rPr>
                <w:lang w:val="en-GB"/>
              </w:rPr>
            </w:pPr>
          </w:p>
        </w:tc>
        <w:tc>
          <w:tcPr>
            <w:tcW w:w="418" w:type="dxa"/>
          </w:tcPr>
          <w:p w14:paraId="318696B6" w14:textId="77777777" w:rsidR="007157A6" w:rsidRPr="007157A6" w:rsidRDefault="007157A6" w:rsidP="007157A6">
            <w:pPr>
              <w:rPr>
                <w:lang w:val="en-GB"/>
              </w:rPr>
            </w:pPr>
          </w:p>
        </w:tc>
        <w:tc>
          <w:tcPr>
            <w:tcW w:w="418" w:type="dxa"/>
          </w:tcPr>
          <w:p w14:paraId="13508815" w14:textId="77777777" w:rsidR="007157A6" w:rsidRPr="007157A6" w:rsidRDefault="007157A6" w:rsidP="007157A6">
            <w:pPr>
              <w:rPr>
                <w:lang w:val="en-GB"/>
              </w:rPr>
            </w:pPr>
          </w:p>
        </w:tc>
        <w:tc>
          <w:tcPr>
            <w:tcW w:w="418" w:type="dxa"/>
          </w:tcPr>
          <w:p w14:paraId="13813771" w14:textId="77777777" w:rsidR="007157A6" w:rsidRPr="007157A6" w:rsidRDefault="007157A6" w:rsidP="007157A6">
            <w:pPr>
              <w:rPr>
                <w:lang w:val="en-GB"/>
              </w:rPr>
            </w:pPr>
          </w:p>
        </w:tc>
        <w:tc>
          <w:tcPr>
            <w:tcW w:w="419" w:type="dxa"/>
          </w:tcPr>
          <w:p w14:paraId="5F38AB29" w14:textId="77777777" w:rsidR="007157A6" w:rsidRPr="007157A6" w:rsidRDefault="007157A6" w:rsidP="007157A6">
            <w:pPr>
              <w:rPr>
                <w:lang w:val="en-GB"/>
              </w:rPr>
            </w:pPr>
          </w:p>
        </w:tc>
      </w:tr>
    </w:tbl>
    <w:p w14:paraId="765D2EF8" w14:textId="77777777" w:rsidR="007157A6" w:rsidRPr="007157A6" w:rsidRDefault="007157A6" w:rsidP="007157A6">
      <w:pPr>
        <w:rPr>
          <w:b/>
          <w:lang w:val="en-GB"/>
        </w:rPr>
      </w:pPr>
    </w:p>
    <w:p w14:paraId="6FDFCC23" w14:textId="77777777" w:rsidR="007157A6" w:rsidRPr="007157A6" w:rsidRDefault="007157A6" w:rsidP="00717905">
      <w:pPr>
        <w:pBdr>
          <w:bottom w:val="single" w:sz="4" w:space="1" w:color="auto"/>
        </w:pBdr>
        <w:rPr>
          <w:b/>
          <w:sz w:val="28"/>
          <w:lang w:val="en-GB"/>
        </w:rPr>
      </w:pPr>
      <w:r w:rsidRPr="007157A6">
        <w:rPr>
          <w:b/>
          <w:sz w:val="28"/>
          <w:lang w:val="en-GB"/>
        </w:rPr>
        <w:t>F</w:t>
      </w:r>
      <w:r w:rsidR="00717905">
        <w:rPr>
          <w:b/>
          <w:sz w:val="28"/>
          <w:lang w:val="en-GB"/>
        </w:rPr>
        <w:t>inancial Market Players</w:t>
      </w:r>
    </w:p>
    <w:p w14:paraId="77A75837"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4CC85693" w14:textId="77777777" w:rsidTr="00C850ED">
        <w:tc>
          <w:tcPr>
            <w:tcW w:w="8642" w:type="dxa"/>
            <w:shd w:val="clear" w:color="auto" w:fill="D9D9D9" w:themeFill="background1" w:themeFillShade="D9"/>
          </w:tcPr>
          <w:p w14:paraId="69F03FC5"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40CB6A44"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56B89CA7"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35E865E"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5C557380"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553CEDE9"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1D7FD984" w14:textId="77777777" w:rsidR="007157A6" w:rsidRPr="007157A6" w:rsidRDefault="007157A6" w:rsidP="007157A6">
            <w:pPr>
              <w:rPr>
                <w:b/>
                <w:lang w:val="en-GB"/>
              </w:rPr>
            </w:pPr>
            <w:r w:rsidRPr="007157A6">
              <w:rPr>
                <w:b/>
                <w:lang w:val="en-GB"/>
              </w:rPr>
              <w:t>1</w:t>
            </w:r>
          </w:p>
        </w:tc>
      </w:tr>
      <w:tr w:rsidR="007157A6" w:rsidRPr="007157A6" w14:paraId="5F2373C3" w14:textId="77777777" w:rsidTr="00C850ED">
        <w:tc>
          <w:tcPr>
            <w:tcW w:w="8642" w:type="dxa"/>
            <w:vMerge w:val="restart"/>
          </w:tcPr>
          <w:p w14:paraId="3CAE1307" w14:textId="77777777" w:rsidR="007157A6" w:rsidRPr="007157A6" w:rsidRDefault="007157A6" w:rsidP="007157A6">
            <w:pPr>
              <w:rPr>
                <w:lang w:val="en-GB"/>
              </w:rPr>
            </w:pPr>
            <w:r w:rsidRPr="007157A6">
              <w:rPr>
                <w:lang w:val="en-GB"/>
              </w:rPr>
              <w:t>Financial market players are called upon to rapidly implement the soon-to-take-effect reporting obligations under the Disclosure Regulation and the Shareholder Directive. Among other things this includes comprehensive reporting on the impact of said players' investments on issues of sustainability.</w:t>
            </w:r>
          </w:p>
        </w:tc>
        <w:tc>
          <w:tcPr>
            <w:tcW w:w="3544" w:type="dxa"/>
          </w:tcPr>
          <w:p w14:paraId="7D1CD446" w14:textId="77777777" w:rsidR="007157A6" w:rsidRPr="007157A6" w:rsidRDefault="007157A6" w:rsidP="007157A6">
            <w:pPr>
              <w:rPr>
                <w:lang w:val="en-GB"/>
              </w:rPr>
            </w:pPr>
            <w:r w:rsidRPr="007157A6">
              <w:rPr>
                <w:lang w:val="en-GB"/>
              </w:rPr>
              <w:t>Will foster Sustainable Finance in Germany</w:t>
            </w:r>
          </w:p>
        </w:tc>
        <w:tc>
          <w:tcPr>
            <w:tcW w:w="418" w:type="dxa"/>
          </w:tcPr>
          <w:p w14:paraId="56086E60" w14:textId="77777777" w:rsidR="007157A6" w:rsidRPr="007157A6" w:rsidRDefault="007157A6" w:rsidP="007157A6">
            <w:pPr>
              <w:rPr>
                <w:lang w:val="en-GB"/>
              </w:rPr>
            </w:pPr>
          </w:p>
        </w:tc>
        <w:tc>
          <w:tcPr>
            <w:tcW w:w="418" w:type="dxa"/>
          </w:tcPr>
          <w:p w14:paraId="1C7F36EA" w14:textId="77777777" w:rsidR="007157A6" w:rsidRPr="007157A6" w:rsidRDefault="007157A6" w:rsidP="007157A6">
            <w:pPr>
              <w:rPr>
                <w:lang w:val="en-GB"/>
              </w:rPr>
            </w:pPr>
          </w:p>
        </w:tc>
        <w:tc>
          <w:tcPr>
            <w:tcW w:w="418" w:type="dxa"/>
          </w:tcPr>
          <w:p w14:paraId="576A60E9" w14:textId="77777777" w:rsidR="007157A6" w:rsidRPr="007157A6" w:rsidRDefault="007157A6" w:rsidP="007157A6">
            <w:pPr>
              <w:rPr>
                <w:lang w:val="en-GB"/>
              </w:rPr>
            </w:pPr>
          </w:p>
        </w:tc>
        <w:tc>
          <w:tcPr>
            <w:tcW w:w="418" w:type="dxa"/>
          </w:tcPr>
          <w:p w14:paraId="2714A370" w14:textId="77777777" w:rsidR="007157A6" w:rsidRPr="007157A6" w:rsidRDefault="007157A6" w:rsidP="007157A6">
            <w:pPr>
              <w:rPr>
                <w:lang w:val="en-GB"/>
              </w:rPr>
            </w:pPr>
          </w:p>
        </w:tc>
        <w:tc>
          <w:tcPr>
            <w:tcW w:w="419" w:type="dxa"/>
          </w:tcPr>
          <w:p w14:paraId="5DCEBC87" w14:textId="77777777" w:rsidR="007157A6" w:rsidRPr="007157A6" w:rsidRDefault="007157A6" w:rsidP="007157A6">
            <w:pPr>
              <w:rPr>
                <w:lang w:val="en-GB"/>
              </w:rPr>
            </w:pPr>
          </w:p>
        </w:tc>
      </w:tr>
      <w:tr w:rsidR="007157A6" w:rsidRPr="007157A6" w14:paraId="6D73DA84" w14:textId="77777777" w:rsidTr="00C850ED">
        <w:tc>
          <w:tcPr>
            <w:tcW w:w="8642" w:type="dxa"/>
            <w:vMerge/>
          </w:tcPr>
          <w:p w14:paraId="6E1CEF2E" w14:textId="77777777" w:rsidR="007157A6" w:rsidRPr="007157A6" w:rsidRDefault="007157A6" w:rsidP="007157A6">
            <w:pPr>
              <w:rPr>
                <w:lang w:val="en-GB"/>
              </w:rPr>
            </w:pPr>
          </w:p>
        </w:tc>
        <w:tc>
          <w:tcPr>
            <w:tcW w:w="3544" w:type="dxa"/>
          </w:tcPr>
          <w:p w14:paraId="6710B4C4" w14:textId="77777777" w:rsidR="007157A6" w:rsidRPr="007157A6" w:rsidRDefault="007157A6" w:rsidP="007157A6">
            <w:pPr>
              <w:rPr>
                <w:lang w:val="en-GB"/>
              </w:rPr>
            </w:pPr>
            <w:r w:rsidRPr="007157A6">
              <w:rPr>
                <w:lang w:val="en-GB"/>
              </w:rPr>
              <w:t>Level of ambition</w:t>
            </w:r>
          </w:p>
        </w:tc>
        <w:tc>
          <w:tcPr>
            <w:tcW w:w="418" w:type="dxa"/>
          </w:tcPr>
          <w:p w14:paraId="06F3A331" w14:textId="77777777" w:rsidR="007157A6" w:rsidRPr="007157A6" w:rsidRDefault="007157A6" w:rsidP="007157A6">
            <w:pPr>
              <w:rPr>
                <w:lang w:val="en-GB"/>
              </w:rPr>
            </w:pPr>
          </w:p>
        </w:tc>
        <w:tc>
          <w:tcPr>
            <w:tcW w:w="418" w:type="dxa"/>
          </w:tcPr>
          <w:p w14:paraId="4BC83610" w14:textId="77777777" w:rsidR="007157A6" w:rsidRPr="007157A6" w:rsidRDefault="007157A6" w:rsidP="007157A6">
            <w:pPr>
              <w:rPr>
                <w:lang w:val="en-GB"/>
              </w:rPr>
            </w:pPr>
          </w:p>
        </w:tc>
        <w:tc>
          <w:tcPr>
            <w:tcW w:w="418" w:type="dxa"/>
          </w:tcPr>
          <w:p w14:paraId="5ACEE48B" w14:textId="77777777" w:rsidR="007157A6" w:rsidRPr="007157A6" w:rsidRDefault="007157A6" w:rsidP="007157A6">
            <w:pPr>
              <w:rPr>
                <w:lang w:val="en-GB"/>
              </w:rPr>
            </w:pPr>
          </w:p>
        </w:tc>
        <w:tc>
          <w:tcPr>
            <w:tcW w:w="418" w:type="dxa"/>
          </w:tcPr>
          <w:p w14:paraId="4E229571" w14:textId="77777777" w:rsidR="007157A6" w:rsidRPr="007157A6" w:rsidRDefault="007157A6" w:rsidP="007157A6">
            <w:pPr>
              <w:rPr>
                <w:lang w:val="en-GB"/>
              </w:rPr>
            </w:pPr>
          </w:p>
        </w:tc>
        <w:tc>
          <w:tcPr>
            <w:tcW w:w="419" w:type="dxa"/>
          </w:tcPr>
          <w:p w14:paraId="1FCBEDF0" w14:textId="77777777" w:rsidR="007157A6" w:rsidRPr="007157A6" w:rsidRDefault="007157A6" w:rsidP="007157A6">
            <w:pPr>
              <w:rPr>
                <w:lang w:val="en-GB"/>
              </w:rPr>
            </w:pPr>
          </w:p>
        </w:tc>
      </w:tr>
      <w:tr w:rsidR="007157A6" w:rsidRPr="007157A6" w14:paraId="1C0E7992" w14:textId="77777777" w:rsidTr="00C850ED">
        <w:tc>
          <w:tcPr>
            <w:tcW w:w="8642" w:type="dxa"/>
            <w:vMerge/>
          </w:tcPr>
          <w:p w14:paraId="1092DAFD" w14:textId="77777777" w:rsidR="007157A6" w:rsidRPr="007157A6" w:rsidRDefault="007157A6" w:rsidP="007157A6">
            <w:pPr>
              <w:rPr>
                <w:lang w:val="en-GB"/>
              </w:rPr>
            </w:pPr>
          </w:p>
        </w:tc>
        <w:tc>
          <w:tcPr>
            <w:tcW w:w="3544" w:type="dxa"/>
          </w:tcPr>
          <w:p w14:paraId="6CE7D813" w14:textId="77777777" w:rsidR="007157A6" w:rsidRPr="007157A6" w:rsidRDefault="007157A6" w:rsidP="007157A6">
            <w:pPr>
              <w:rPr>
                <w:lang w:val="en-GB"/>
              </w:rPr>
            </w:pPr>
            <w:r w:rsidRPr="007157A6">
              <w:rPr>
                <w:lang w:val="en-GB"/>
              </w:rPr>
              <w:t>Practicability</w:t>
            </w:r>
          </w:p>
        </w:tc>
        <w:tc>
          <w:tcPr>
            <w:tcW w:w="418" w:type="dxa"/>
          </w:tcPr>
          <w:p w14:paraId="15594BA3" w14:textId="77777777" w:rsidR="007157A6" w:rsidRPr="007157A6" w:rsidRDefault="007157A6" w:rsidP="007157A6">
            <w:pPr>
              <w:rPr>
                <w:lang w:val="en-GB"/>
              </w:rPr>
            </w:pPr>
          </w:p>
        </w:tc>
        <w:tc>
          <w:tcPr>
            <w:tcW w:w="418" w:type="dxa"/>
          </w:tcPr>
          <w:p w14:paraId="1DB77413" w14:textId="77777777" w:rsidR="007157A6" w:rsidRPr="007157A6" w:rsidRDefault="007157A6" w:rsidP="007157A6">
            <w:pPr>
              <w:rPr>
                <w:lang w:val="en-GB"/>
              </w:rPr>
            </w:pPr>
          </w:p>
        </w:tc>
        <w:tc>
          <w:tcPr>
            <w:tcW w:w="418" w:type="dxa"/>
          </w:tcPr>
          <w:p w14:paraId="21ECB7CC" w14:textId="77777777" w:rsidR="007157A6" w:rsidRPr="007157A6" w:rsidRDefault="007157A6" w:rsidP="007157A6">
            <w:pPr>
              <w:rPr>
                <w:lang w:val="en-GB"/>
              </w:rPr>
            </w:pPr>
          </w:p>
        </w:tc>
        <w:tc>
          <w:tcPr>
            <w:tcW w:w="418" w:type="dxa"/>
          </w:tcPr>
          <w:p w14:paraId="1153DE1C" w14:textId="77777777" w:rsidR="007157A6" w:rsidRPr="007157A6" w:rsidRDefault="007157A6" w:rsidP="007157A6">
            <w:pPr>
              <w:rPr>
                <w:lang w:val="en-GB"/>
              </w:rPr>
            </w:pPr>
          </w:p>
        </w:tc>
        <w:tc>
          <w:tcPr>
            <w:tcW w:w="419" w:type="dxa"/>
          </w:tcPr>
          <w:p w14:paraId="597C9935" w14:textId="77777777" w:rsidR="007157A6" w:rsidRPr="007157A6" w:rsidRDefault="007157A6" w:rsidP="007157A6">
            <w:pPr>
              <w:rPr>
                <w:lang w:val="en-GB"/>
              </w:rPr>
            </w:pPr>
          </w:p>
        </w:tc>
      </w:tr>
      <w:tr w:rsidR="007157A6" w:rsidRPr="007157A6" w14:paraId="168F5394" w14:textId="77777777" w:rsidTr="00C850ED">
        <w:tc>
          <w:tcPr>
            <w:tcW w:w="8642" w:type="dxa"/>
            <w:vMerge/>
          </w:tcPr>
          <w:p w14:paraId="725A9E6B" w14:textId="77777777" w:rsidR="007157A6" w:rsidRPr="007157A6" w:rsidRDefault="007157A6" w:rsidP="007157A6">
            <w:pPr>
              <w:rPr>
                <w:lang w:val="en-GB"/>
              </w:rPr>
            </w:pPr>
          </w:p>
        </w:tc>
        <w:tc>
          <w:tcPr>
            <w:tcW w:w="3544" w:type="dxa"/>
          </w:tcPr>
          <w:p w14:paraId="197C5A8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2AA6115" w14:textId="77777777" w:rsidR="007157A6" w:rsidRPr="007157A6" w:rsidRDefault="007157A6" w:rsidP="007157A6">
            <w:pPr>
              <w:rPr>
                <w:lang w:val="en-GB"/>
              </w:rPr>
            </w:pPr>
          </w:p>
        </w:tc>
        <w:tc>
          <w:tcPr>
            <w:tcW w:w="418" w:type="dxa"/>
          </w:tcPr>
          <w:p w14:paraId="6D5B539E" w14:textId="77777777" w:rsidR="007157A6" w:rsidRPr="007157A6" w:rsidRDefault="007157A6" w:rsidP="007157A6">
            <w:pPr>
              <w:rPr>
                <w:lang w:val="en-GB"/>
              </w:rPr>
            </w:pPr>
          </w:p>
        </w:tc>
        <w:tc>
          <w:tcPr>
            <w:tcW w:w="418" w:type="dxa"/>
          </w:tcPr>
          <w:p w14:paraId="63A3D14D" w14:textId="77777777" w:rsidR="007157A6" w:rsidRPr="007157A6" w:rsidRDefault="007157A6" w:rsidP="007157A6">
            <w:pPr>
              <w:rPr>
                <w:lang w:val="en-GB"/>
              </w:rPr>
            </w:pPr>
          </w:p>
        </w:tc>
        <w:tc>
          <w:tcPr>
            <w:tcW w:w="418" w:type="dxa"/>
          </w:tcPr>
          <w:p w14:paraId="1EA16F63" w14:textId="77777777" w:rsidR="007157A6" w:rsidRPr="007157A6" w:rsidRDefault="007157A6" w:rsidP="007157A6">
            <w:pPr>
              <w:rPr>
                <w:lang w:val="en-GB"/>
              </w:rPr>
            </w:pPr>
          </w:p>
        </w:tc>
        <w:tc>
          <w:tcPr>
            <w:tcW w:w="419" w:type="dxa"/>
          </w:tcPr>
          <w:p w14:paraId="323AD878" w14:textId="77777777" w:rsidR="007157A6" w:rsidRPr="007157A6" w:rsidRDefault="007157A6" w:rsidP="007157A6">
            <w:pPr>
              <w:rPr>
                <w:lang w:val="en-GB"/>
              </w:rPr>
            </w:pPr>
          </w:p>
        </w:tc>
      </w:tr>
      <w:tr w:rsidR="007157A6" w:rsidRPr="007157A6" w14:paraId="31DB9A87" w14:textId="77777777" w:rsidTr="00C850ED">
        <w:tc>
          <w:tcPr>
            <w:tcW w:w="8642" w:type="dxa"/>
            <w:shd w:val="clear" w:color="auto" w:fill="D9D9D9" w:themeFill="background1" w:themeFillShade="D9"/>
          </w:tcPr>
          <w:p w14:paraId="13862265"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BE23710"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0672765"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05F2B94"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E17971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A0C54C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761C2C47" w14:textId="77777777" w:rsidR="007157A6" w:rsidRPr="007157A6" w:rsidRDefault="007157A6" w:rsidP="007157A6">
            <w:pPr>
              <w:rPr>
                <w:lang w:val="en-GB"/>
              </w:rPr>
            </w:pPr>
            <w:r w:rsidRPr="007157A6">
              <w:rPr>
                <w:b/>
                <w:lang w:val="en-GB"/>
              </w:rPr>
              <w:t>1</w:t>
            </w:r>
          </w:p>
        </w:tc>
      </w:tr>
      <w:tr w:rsidR="007157A6" w:rsidRPr="007157A6" w14:paraId="3C725E67" w14:textId="77777777" w:rsidTr="00C850ED">
        <w:trPr>
          <w:trHeight w:val="596"/>
        </w:trPr>
        <w:tc>
          <w:tcPr>
            <w:tcW w:w="8642" w:type="dxa"/>
            <w:vMerge w:val="restart"/>
          </w:tcPr>
          <w:p w14:paraId="50C3F4E6" w14:textId="77777777" w:rsidR="007157A6" w:rsidRPr="007157A6" w:rsidRDefault="007157A6" w:rsidP="007157A6">
            <w:pPr>
              <w:rPr>
                <w:lang w:val="en-GB"/>
              </w:rPr>
            </w:pPr>
            <w:r w:rsidRPr="007157A6">
              <w:rPr>
                <w:lang w:val="en-GB"/>
              </w:rPr>
              <w:t>Existing reporting formats and institutions should be used to avoid any confusion and duplication of reporting. For instance, there is a need to review how the established notification and reporting system of Deutsche Bundesbank can be adapted to ensure systematic transparency as to the exposure of the financial sector to sustainability factors, not least with the aim of pinpointing the extent to which the concept of sustainability has taken root as well as potential systemic sustainability risks. Particular attention should be paid in this connection to lending, i.e. “credit tagging”, due to its importance in Germany as a type of funding.</w:t>
            </w:r>
          </w:p>
        </w:tc>
        <w:tc>
          <w:tcPr>
            <w:tcW w:w="3544" w:type="dxa"/>
          </w:tcPr>
          <w:p w14:paraId="0896FCD1" w14:textId="77777777" w:rsidR="007157A6" w:rsidRPr="007157A6" w:rsidRDefault="007157A6" w:rsidP="007157A6">
            <w:pPr>
              <w:rPr>
                <w:lang w:val="en-GB"/>
              </w:rPr>
            </w:pPr>
            <w:r w:rsidRPr="007157A6">
              <w:rPr>
                <w:lang w:val="en-GB"/>
              </w:rPr>
              <w:t>Will foster Sustainable Finance in Germany</w:t>
            </w:r>
          </w:p>
        </w:tc>
        <w:tc>
          <w:tcPr>
            <w:tcW w:w="418" w:type="dxa"/>
          </w:tcPr>
          <w:p w14:paraId="236D8890" w14:textId="77777777" w:rsidR="007157A6" w:rsidRPr="007157A6" w:rsidRDefault="007157A6" w:rsidP="007157A6">
            <w:pPr>
              <w:rPr>
                <w:lang w:val="en-GB"/>
              </w:rPr>
            </w:pPr>
          </w:p>
        </w:tc>
        <w:tc>
          <w:tcPr>
            <w:tcW w:w="418" w:type="dxa"/>
          </w:tcPr>
          <w:p w14:paraId="3C1CBD5A" w14:textId="77777777" w:rsidR="007157A6" w:rsidRPr="007157A6" w:rsidRDefault="007157A6" w:rsidP="007157A6">
            <w:pPr>
              <w:rPr>
                <w:lang w:val="en-GB"/>
              </w:rPr>
            </w:pPr>
          </w:p>
        </w:tc>
        <w:tc>
          <w:tcPr>
            <w:tcW w:w="418" w:type="dxa"/>
          </w:tcPr>
          <w:p w14:paraId="3598F2A6" w14:textId="77777777" w:rsidR="007157A6" w:rsidRPr="007157A6" w:rsidRDefault="007157A6" w:rsidP="007157A6">
            <w:pPr>
              <w:rPr>
                <w:lang w:val="en-GB"/>
              </w:rPr>
            </w:pPr>
          </w:p>
        </w:tc>
        <w:tc>
          <w:tcPr>
            <w:tcW w:w="418" w:type="dxa"/>
          </w:tcPr>
          <w:p w14:paraId="47A192AF" w14:textId="77777777" w:rsidR="007157A6" w:rsidRPr="007157A6" w:rsidRDefault="007157A6" w:rsidP="007157A6">
            <w:pPr>
              <w:rPr>
                <w:lang w:val="en-GB"/>
              </w:rPr>
            </w:pPr>
          </w:p>
        </w:tc>
        <w:tc>
          <w:tcPr>
            <w:tcW w:w="419" w:type="dxa"/>
          </w:tcPr>
          <w:p w14:paraId="1C852F40" w14:textId="77777777" w:rsidR="007157A6" w:rsidRPr="007157A6" w:rsidRDefault="007157A6" w:rsidP="007157A6">
            <w:pPr>
              <w:rPr>
                <w:lang w:val="en-GB"/>
              </w:rPr>
            </w:pPr>
          </w:p>
        </w:tc>
      </w:tr>
      <w:tr w:rsidR="007157A6" w:rsidRPr="007157A6" w14:paraId="67FABA94" w14:textId="77777777" w:rsidTr="00C850ED">
        <w:trPr>
          <w:trHeight w:val="597"/>
        </w:trPr>
        <w:tc>
          <w:tcPr>
            <w:tcW w:w="8642" w:type="dxa"/>
            <w:vMerge/>
          </w:tcPr>
          <w:p w14:paraId="0A9C5915" w14:textId="77777777" w:rsidR="007157A6" w:rsidRPr="007157A6" w:rsidRDefault="007157A6" w:rsidP="007157A6">
            <w:pPr>
              <w:rPr>
                <w:lang w:val="en-GB"/>
              </w:rPr>
            </w:pPr>
          </w:p>
        </w:tc>
        <w:tc>
          <w:tcPr>
            <w:tcW w:w="3544" w:type="dxa"/>
          </w:tcPr>
          <w:p w14:paraId="2B122EEE" w14:textId="77777777" w:rsidR="007157A6" w:rsidRPr="007157A6" w:rsidRDefault="007157A6" w:rsidP="007157A6">
            <w:pPr>
              <w:rPr>
                <w:lang w:val="en-GB"/>
              </w:rPr>
            </w:pPr>
            <w:r w:rsidRPr="007157A6">
              <w:rPr>
                <w:lang w:val="en-GB"/>
              </w:rPr>
              <w:t>Level of ambition</w:t>
            </w:r>
          </w:p>
        </w:tc>
        <w:tc>
          <w:tcPr>
            <w:tcW w:w="418" w:type="dxa"/>
          </w:tcPr>
          <w:p w14:paraId="739F320E" w14:textId="77777777" w:rsidR="007157A6" w:rsidRPr="007157A6" w:rsidRDefault="007157A6" w:rsidP="007157A6">
            <w:pPr>
              <w:rPr>
                <w:lang w:val="en-GB"/>
              </w:rPr>
            </w:pPr>
          </w:p>
        </w:tc>
        <w:tc>
          <w:tcPr>
            <w:tcW w:w="418" w:type="dxa"/>
          </w:tcPr>
          <w:p w14:paraId="3D503BDF" w14:textId="77777777" w:rsidR="007157A6" w:rsidRPr="007157A6" w:rsidRDefault="007157A6" w:rsidP="007157A6">
            <w:pPr>
              <w:rPr>
                <w:lang w:val="en-GB"/>
              </w:rPr>
            </w:pPr>
          </w:p>
        </w:tc>
        <w:tc>
          <w:tcPr>
            <w:tcW w:w="418" w:type="dxa"/>
          </w:tcPr>
          <w:p w14:paraId="4A15AC5C" w14:textId="77777777" w:rsidR="007157A6" w:rsidRPr="007157A6" w:rsidRDefault="007157A6" w:rsidP="007157A6">
            <w:pPr>
              <w:rPr>
                <w:lang w:val="en-GB"/>
              </w:rPr>
            </w:pPr>
          </w:p>
        </w:tc>
        <w:tc>
          <w:tcPr>
            <w:tcW w:w="418" w:type="dxa"/>
          </w:tcPr>
          <w:p w14:paraId="3C8210CD" w14:textId="77777777" w:rsidR="007157A6" w:rsidRPr="007157A6" w:rsidRDefault="007157A6" w:rsidP="007157A6">
            <w:pPr>
              <w:rPr>
                <w:lang w:val="en-GB"/>
              </w:rPr>
            </w:pPr>
          </w:p>
        </w:tc>
        <w:tc>
          <w:tcPr>
            <w:tcW w:w="419" w:type="dxa"/>
          </w:tcPr>
          <w:p w14:paraId="64CB57F8" w14:textId="77777777" w:rsidR="007157A6" w:rsidRPr="007157A6" w:rsidRDefault="007157A6" w:rsidP="007157A6">
            <w:pPr>
              <w:rPr>
                <w:lang w:val="en-GB"/>
              </w:rPr>
            </w:pPr>
          </w:p>
        </w:tc>
      </w:tr>
      <w:tr w:rsidR="007157A6" w:rsidRPr="007157A6" w14:paraId="18C09C22" w14:textId="77777777" w:rsidTr="00C850ED">
        <w:trPr>
          <w:trHeight w:val="597"/>
        </w:trPr>
        <w:tc>
          <w:tcPr>
            <w:tcW w:w="8642" w:type="dxa"/>
            <w:vMerge/>
          </w:tcPr>
          <w:p w14:paraId="18D4B8C7" w14:textId="77777777" w:rsidR="007157A6" w:rsidRPr="007157A6" w:rsidRDefault="007157A6" w:rsidP="007157A6">
            <w:pPr>
              <w:rPr>
                <w:lang w:val="en-GB"/>
              </w:rPr>
            </w:pPr>
          </w:p>
        </w:tc>
        <w:tc>
          <w:tcPr>
            <w:tcW w:w="3544" w:type="dxa"/>
          </w:tcPr>
          <w:p w14:paraId="33C16B2F" w14:textId="77777777" w:rsidR="007157A6" w:rsidRPr="007157A6" w:rsidRDefault="007157A6" w:rsidP="007157A6">
            <w:pPr>
              <w:rPr>
                <w:lang w:val="en-GB"/>
              </w:rPr>
            </w:pPr>
            <w:r w:rsidRPr="007157A6">
              <w:rPr>
                <w:lang w:val="en-GB"/>
              </w:rPr>
              <w:t>Practicability</w:t>
            </w:r>
          </w:p>
        </w:tc>
        <w:tc>
          <w:tcPr>
            <w:tcW w:w="418" w:type="dxa"/>
          </w:tcPr>
          <w:p w14:paraId="1E39A917" w14:textId="77777777" w:rsidR="007157A6" w:rsidRPr="007157A6" w:rsidRDefault="007157A6" w:rsidP="007157A6">
            <w:pPr>
              <w:rPr>
                <w:lang w:val="en-GB"/>
              </w:rPr>
            </w:pPr>
          </w:p>
        </w:tc>
        <w:tc>
          <w:tcPr>
            <w:tcW w:w="418" w:type="dxa"/>
          </w:tcPr>
          <w:p w14:paraId="2518A7FB" w14:textId="77777777" w:rsidR="007157A6" w:rsidRPr="007157A6" w:rsidRDefault="007157A6" w:rsidP="007157A6">
            <w:pPr>
              <w:rPr>
                <w:lang w:val="en-GB"/>
              </w:rPr>
            </w:pPr>
          </w:p>
        </w:tc>
        <w:tc>
          <w:tcPr>
            <w:tcW w:w="418" w:type="dxa"/>
          </w:tcPr>
          <w:p w14:paraId="3DF10CBE" w14:textId="77777777" w:rsidR="007157A6" w:rsidRPr="007157A6" w:rsidRDefault="007157A6" w:rsidP="007157A6">
            <w:pPr>
              <w:rPr>
                <w:lang w:val="en-GB"/>
              </w:rPr>
            </w:pPr>
          </w:p>
        </w:tc>
        <w:tc>
          <w:tcPr>
            <w:tcW w:w="418" w:type="dxa"/>
          </w:tcPr>
          <w:p w14:paraId="6382B694" w14:textId="77777777" w:rsidR="007157A6" w:rsidRPr="007157A6" w:rsidRDefault="007157A6" w:rsidP="007157A6">
            <w:pPr>
              <w:rPr>
                <w:lang w:val="en-GB"/>
              </w:rPr>
            </w:pPr>
          </w:p>
        </w:tc>
        <w:tc>
          <w:tcPr>
            <w:tcW w:w="419" w:type="dxa"/>
          </w:tcPr>
          <w:p w14:paraId="28A338A3" w14:textId="77777777" w:rsidR="007157A6" w:rsidRPr="007157A6" w:rsidRDefault="007157A6" w:rsidP="007157A6">
            <w:pPr>
              <w:rPr>
                <w:lang w:val="en-GB"/>
              </w:rPr>
            </w:pPr>
          </w:p>
        </w:tc>
      </w:tr>
      <w:tr w:rsidR="007157A6" w:rsidRPr="007157A6" w14:paraId="4D199A1D" w14:textId="77777777" w:rsidTr="00C850ED">
        <w:trPr>
          <w:trHeight w:val="597"/>
        </w:trPr>
        <w:tc>
          <w:tcPr>
            <w:tcW w:w="8642" w:type="dxa"/>
            <w:vMerge/>
          </w:tcPr>
          <w:p w14:paraId="303292CE" w14:textId="77777777" w:rsidR="007157A6" w:rsidRPr="007157A6" w:rsidRDefault="007157A6" w:rsidP="007157A6">
            <w:pPr>
              <w:rPr>
                <w:lang w:val="en-GB"/>
              </w:rPr>
            </w:pPr>
          </w:p>
        </w:tc>
        <w:tc>
          <w:tcPr>
            <w:tcW w:w="3544" w:type="dxa"/>
          </w:tcPr>
          <w:p w14:paraId="1F36A322"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0E1D0EF8" w14:textId="77777777" w:rsidR="007157A6" w:rsidRPr="007157A6" w:rsidRDefault="007157A6" w:rsidP="007157A6">
            <w:pPr>
              <w:rPr>
                <w:lang w:val="en-GB"/>
              </w:rPr>
            </w:pPr>
          </w:p>
        </w:tc>
        <w:tc>
          <w:tcPr>
            <w:tcW w:w="418" w:type="dxa"/>
          </w:tcPr>
          <w:p w14:paraId="0BD3FBBD" w14:textId="77777777" w:rsidR="007157A6" w:rsidRPr="007157A6" w:rsidRDefault="007157A6" w:rsidP="007157A6">
            <w:pPr>
              <w:rPr>
                <w:lang w:val="en-GB"/>
              </w:rPr>
            </w:pPr>
          </w:p>
        </w:tc>
        <w:tc>
          <w:tcPr>
            <w:tcW w:w="418" w:type="dxa"/>
          </w:tcPr>
          <w:p w14:paraId="5E6D4B9D" w14:textId="77777777" w:rsidR="007157A6" w:rsidRPr="007157A6" w:rsidRDefault="007157A6" w:rsidP="007157A6">
            <w:pPr>
              <w:rPr>
                <w:lang w:val="en-GB"/>
              </w:rPr>
            </w:pPr>
          </w:p>
        </w:tc>
        <w:tc>
          <w:tcPr>
            <w:tcW w:w="418" w:type="dxa"/>
          </w:tcPr>
          <w:p w14:paraId="21FAAA97" w14:textId="77777777" w:rsidR="007157A6" w:rsidRPr="007157A6" w:rsidRDefault="007157A6" w:rsidP="007157A6">
            <w:pPr>
              <w:rPr>
                <w:lang w:val="en-GB"/>
              </w:rPr>
            </w:pPr>
          </w:p>
        </w:tc>
        <w:tc>
          <w:tcPr>
            <w:tcW w:w="419" w:type="dxa"/>
          </w:tcPr>
          <w:p w14:paraId="286F338E" w14:textId="77777777" w:rsidR="007157A6" w:rsidRPr="007157A6" w:rsidRDefault="007157A6" w:rsidP="007157A6">
            <w:pPr>
              <w:rPr>
                <w:lang w:val="en-GB"/>
              </w:rPr>
            </w:pPr>
          </w:p>
        </w:tc>
      </w:tr>
      <w:tr w:rsidR="007157A6" w:rsidRPr="007157A6" w14:paraId="13259F7C" w14:textId="77777777" w:rsidTr="00C850ED">
        <w:tc>
          <w:tcPr>
            <w:tcW w:w="8642" w:type="dxa"/>
            <w:shd w:val="clear" w:color="auto" w:fill="D9D9D9" w:themeFill="background1" w:themeFillShade="D9"/>
          </w:tcPr>
          <w:p w14:paraId="6A3A27F8"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41C4257"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B29D700"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6F29FB35"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89702C9"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1452AD77"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42D57CE8" w14:textId="77777777" w:rsidR="007157A6" w:rsidRPr="007157A6" w:rsidRDefault="007157A6" w:rsidP="007157A6">
            <w:pPr>
              <w:rPr>
                <w:lang w:val="en-GB"/>
              </w:rPr>
            </w:pPr>
            <w:r w:rsidRPr="007157A6">
              <w:rPr>
                <w:b/>
                <w:lang w:val="en-GB"/>
              </w:rPr>
              <w:t>1</w:t>
            </w:r>
          </w:p>
        </w:tc>
      </w:tr>
      <w:tr w:rsidR="007157A6" w:rsidRPr="007157A6" w14:paraId="6E842A91" w14:textId="77777777" w:rsidTr="00C850ED">
        <w:trPr>
          <w:trHeight w:val="865"/>
        </w:trPr>
        <w:tc>
          <w:tcPr>
            <w:tcW w:w="8642" w:type="dxa"/>
            <w:vMerge w:val="restart"/>
          </w:tcPr>
          <w:p w14:paraId="25640B4D" w14:textId="77777777" w:rsidR="007157A6" w:rsidRPr="007157A6" w:rsidRDefault="007157A6" w:rsidP="007157A6">
            <w:pPr>
              <w:rPr>
                <w:lang w:val="en-GB"/>
              </w:rPr>
            </w:pPr>
            <w:r w:rsidRPr="007157A6">
              <w:rPr>
                <w:lang w:val="en-GB"/>
              </w:rPr>
              <w:t>The following measures are recommended for all areas of the fin</w:t>
            </w:r>
            <w:r w:rsidR="00717905">
              <w:rPr>
                <w:lang w:val="en-GB"/>
              </w:rPr>
              <w:t xml:space="preserve">ancial industry: </w:t>
            </w:r>
            <w:r w:rsidRPr="007157A6">
              <w:rPr>
                <w:lang w:val="en-GB"/>
              </w:rPr>
              <w:t xml:space="preserve">The Disclosure Regulation requires reports on sustainability risks arising from a given financial </w:t>
            </w:r>
            <w:r w:rsidRPr="007157A6">
              <w:rPr>
                <w:lang w:val="en-GB"/>
              </w:rPr>
              <w:lastRenderedPageBreak/>
              <w:t>market player’s activities, including detailed transparency in respect of loans and investments. The following information is particularly relevant to the assessment of their external effects:</w:t>
            </w:r>
          </w:p>
          <w:p w14:paraId="0A1245BE" w14:textId="77777777" w:rsidR="007157A6" w:rsidRPr="007157A6" w:rsidRDefault="007157A6" w:rsidP="007157A6">
            <w:pPr>
              <w:numPr>
                <w:ilvl w:val="0"/>
                <w:numId w:val="29"/>
              </w:numPr>
              <w:contextualSpacing/>
              <w:rPr>
                <w:lang w:val="en-GB"/>
              </w:rPr>
            </w:pPr>
            <w:r w:rsidRPr="007157A6">
              <w:rPr>
                <w:lang w:val="en-GB"/>
              </w:rPr>
              <w:t>potential negative effects on climate change</w:t>
            </w:r>
          </w:p>
          <w:p w14:paraId="7A0A4969" w14:textId="77777777" w:rsidR="007157A6" w:rsidRPr="007157A6" w:rsidRDefault="007157A6" w:rsidP="007157A6">
            <w:pPr>
              <w:numPr>
                <w:ilvl w:val="0"/>
                <w:numId w:val="29"/>
              </w:numPr>
              <w:contextualSpacing/>
              <w:rPr>
                <w:lang w:val="en-GB"/>
              </w:rPr>
            </w:pPr>
            <w:r w:rsidRPr="007157A6">
              <w:rPr>
                <w:lang w:val="en-GB"/>
              </w:rPr>
              <w:t>potential negative effects on biodiversity</w:t>
            </w:r>
          </w:p>
          <w:p w14:paraId="77AF349B" w14:textId="77777777" w:rsidR="007157A6" w:rsidRPr="007157A6" w:rsidRDefault="007157A6" w:rsidP="007157A6">
            <w:pPr>
              <w:numPr>
                <w:ilvl w:val="0"/>
                <w:numId w:val="29"/>
              </w:numPr>
              <w:contextualSpacing/>
              <w:rPr>
                <w:lang w:val="en-GB"/>
              </w:rPr>
            </w:pPr>
            <w:r w:rsidRPr="007157A6">
              <w:rPr>
                <w:lang w:val="en-GB"/>
              </w:rPr>
              <w:t>potential negative effects on water, soil and air</w:t>
            </w:r>
          </w:p>
          <w:p w14:paraId="17821B11" w14:textId="77777777" w:rsidR="007157A6" w:rsidRPr="007157A6" w:rsidRDefault="007157A6" w:rsidP="007157A6">
            <w:pPr>
              <w:numPr>
                <w:ilvl w:val="0"/>
                <w:numId w:val="29"/>
              </w:numPr>
              <w:contextualSpacing/>
              <w:rPr>
                <w:lang w:val="en-GB"/>
              </w:rPr>
            </w:pPr>
            <w:r w:rsidRPr="007157A6">
              <w:rPr>
                <w:lang w:val="en-GB"/>
              </w:rPr>
              <w:t>potential negative effects on states’ tax basis</w:t>
            </w:r>
          </w:p>
          <w:p w14:paraId="75551F48" w14:textId="77777777" w:rsidR="007157A6" w:rsidRPr="007157A6" w:rsidRDefault="007157A6" w:rsidP="007157A6">
            <w:pPr>
              <w:numPr>
                <w:ilvl w:val="0"/>
                <w:numId w:val="29"/>
              </w:numPr>
              <w:contextualSpacing/>
              <w:rPr>
                <w:lang w:val="en-GB"/>
              </w:rPr>
            </w:pPr>
            <w:r w:rsidRPr="007157A6">
              <w:rPr>
                <w:lang w:val="en-GB"/>
              </w:rPr>
              <w:t xml:space="preserve">potential negative effects on compliance with UN Guidelines on the Economy and Human Rights </w:t>
            </w:r>
          </w:p>
          <w:p w14:paraId="5D9E11A1" w14:textId="77777777" w:rsidR="007157A6" w:rsidRPr="007157A6" w:rsidRDefault="007157A6" w:rsidP="007157A6">
            <w:pPr>
              <w:numPr>
                <w:ilvl w:val="0"/>
                <w:numId w:val="29"/>
              </w:numPr>
              <w:contextualSpacing/>
              <w:rPr>
                <w:lang w:val="en-GB"/>
              </w:rPr>
            </w:pPr>
            <w:r w:rsidRPr="007157A6">
              <w:rPr>
                <w:lang w:val="en-GB"/>
              </w:rPr>
              <w:t>potential negative effects on pricing in commodities markets</w:t>
            </w:r>
          </w:p>
        </w:tc>
        <w:tc>
          <w:tcPr>
            <w:tcW w:w="3544" w:type="dxa"/>
          </w:tcPr>
          <w:p w14:paraId="14172CBA"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581B89E0" w14:textId="77777777" w:rsidR="007157A6" w:rsidRPr="007157A6" w:rsidRDefault="007157A6" w:rsidP="007157A6">
            <w:pPr>
              <w:rPr>
                <w:lang w:val="en-GB"/>
              </w:rPr>
            </w:pPr>
          </w:p>
        </w:tc>
        <w:tc>
          <w:tcPr>
            <w:tcW w:w="418" w:type="dxa"/>
          </w:tcPr>
          <w:p w14:paraId="338539F5" w14:textId="77777777" w:rsidR="007157A6" w:rsidRPr="007157A6" w:rsidRDefault="007157A6" w:rsidP="007157A6">
            <w:pPr>
              <w:rPr>
                <w:lang w:val="en-GB"/>
              </w:rPr>
            </w:pPr>
          </w:p>
        </w:tc>
        <w:tc>
          <w:tcPr>
            <w:tcW w:w="418" w:type="dxa"/>
          </w:tcPr>
          <w:p w14:paraId="190D2ED8" w14:textId="77777777" w:rsidR="007157A6" w:rsidRPr="007157A6" w:rsidRDefault="007157A6" w:rsidP="007157A6">
            <w:pPr>
              <w:rPr>
                <w:lang w:val="en-GB"/>
              </w:rPr>
            </w:pPr>
          </w:p>
        </w:tc>
        <w:tc>
          <w:tcPr>
            <w:tcW w:w="418" w:type="dxa"/>
          </w:tcPr>
          <w:p w14:paraId="29CAC8D8" w14:textId="77777777" w:rsidR="007157A6" w:rsidRPr="007157A6" w:rsidRDefault="007157A6" w:rsidP="007157A6">
            <w:pPr>
              <w:rPr>
                <w:lang w:val="en-GB"/>
              </w:rPr>
            </w:pPr>
          </w:p>
        </w:tc>
        <w:tc>
          <w:tcPr>
            <w:tcW w:w="419" w:type="dxa"/>
          </w:tcPr>
          <w:p w14:paraId="6387DF08" w14:textId="77777777" w:rsidR="007157A6" w:rsidRPr="007157A6" w:rsidRDefault="007157A6" w:rsidP="007157A6">
            <w:pPr>
              <w:rPr>
                <w:lang w:val="en-GB"/>
              </w:rPr>
            </w:pPr>
          </w:p>
        </w:tc>
      </w:tr>
      <w:tr w:rsidR="007157A6" w:rsidRPr="007157A6" w14:paraId="0A6B6B48" w14:textId="77777777" w:rsidTr="00C850ED">
        <w:trPr>
          <w:trHeight w:val="865"/>
        </w:trPr>
        <w:tc>
          <w:tcPr>
            <w:tcW w:w="8642" w:type="dxa"/>
            <w:vMerge/>
          </w:tcPr>
          <w:p w14:paraId="5F61F5C2" w14:textId="77777777" w:rsidR="007157A6" w:rsidRPr="007157A6" w:rsidRDefault="007157A6" w:rsidP="007157A6">
            <w:pPr>
              <w:rPr>
                <w:lang w:val="en-GB"/>
              </w:rPr>
            </w:pPr>
          </w:p>
        </w:tc>
        <w:tc>
          <w:tcPr>
            <w:tcW w:w="3544" w:type="dxa"/>
          </w:tcPr>
          <w:p w14:paraId="4C1E01B2" w14:textId="77777777" w:rsidR="007157A6" w:rsidRPr="007157A6" w:rsidRDefault="007157A6" w:rsidP="007157A6">
            <w:pPr>
              <w:rPr>
                <w:lang w:val="en-GB"/>
              </w:rPr>
            </w:pPr>
            <w:r w:rsidRPr="007157A6">
              <w:rPr>
                <w:lang w:val="en-GB"/>
              </w:rPr>
              <w:t>Level of ambition</w:t>
            </w:r>
          </w:p>
        </w:tc>
        <w:tc>
          <w:tcPr>
            <w:tcW w:w="418" w:type="dxa"/>
          </w:tcPr>
          <w:p w14:paraId="3633EAEC" w14:textId="77777777" w:rsidR="007157A6" w:rsidRPr="007157A6" w:rsidRDefault="007157A6" w:rsidP="007157A6">
            <w:pPr>
              <w:rPr>
                <w:lang w:val="en-GB"/>
              </w:rPr>
            </w:pPr>
          </w:p>
        </w:tc>
        <w:tc>
          <w:tcPr>
            <w:tcW w:w="418" w:type="dxa"/>
          </w:tcPr>
          <w:p w14:paraId="00C830BC" w14:textId="77777777" w:rsidR="007157A6" w:rsidRPr="007157A6" w:rsidRDefault="007157A6" w:rsidP="007157A6">
            <w:pPr>
              <w:rPr>
                <w:lang w:val="en-GB"/>
              </w:rPr>
            </w:pPr>
          </w:p>
        </w:tc>
        <w:tc>
          <w:tcPr>
            <w:tcW w:w="418" w:type="dxa"/>
          </w:tcPr>
          <w:p w14:paraId="1B025D56" w14:textId="77777777" w:rsidR="007157A6" w:rsidRPr="007157A6" w:rsidRDefault="007157A6" w:rsidP="007157A6">
            <w:pPr>
              <w:rPr>
                <w:lang w:val="en-GB"/>
              </w:rPr>
            </w:pPr>
          </w:p>
        </w:tc>
        <w:tc>
          <w:tcPr>
            <w:tcW w:w="418" w:type="dxa"/>
          </w:tcPr>
          <w:p w14:paraId="44C37932" w14:textId="77777777" w:rsidR="007157A6" w:rsidRPr="007157A6" w:rsidRDefault="007157A6" w:rsidP="007157A6">
            <w:pPr>
              <w:rPr>
                <w:lang w:val="en-GB"/>
              </w:rPr>
            </w:pPr>
          </w:p>
        </w:tc>
        <w:tc>
          <w:tcPr>
            <w:tcW w:w="419" w:type="dxa"/>
          </w:tcPr>
          <w:p w14:paraId="1A0D470D" w14:textId="77777777" w:rsidR="007157A6" w:rsidRPr="007157A6" w:rsidRDefault="007157A6" w:rsidP="007157A6">
            <w:pPr>
              <w:rPr>
                <w:lang w:val="en-GB"/>
              </w:rPr>
            </w:pPr>
          </w:p>
        </w:tc>
      </w:tr>
      <w:tr w:rsidR="007157A6" w:rsidRPr="007157A6" w14:paraId="2635D34A" w14:textId="77777777" w:rsidTr="00C850ED">
        <w:trPr>
          <w:trHeight w:val="865"/>
        </w:trPr>
        <w:tc>
          <w:tcPr>
            <w:tcW w:w="8642" w:type="dxa"/>
            <w:vMerge/>
          </w:tcPr>
          <w:p w14:paraId="55FF6D6A" w14:textId="77777777" w:rsidR="007157A6" w:rsidRPr="007157A6" w:rsidRDefault="007157A6" w:rsidP="007157A6">
            <w:pPr>
              <w:rPr>
                <w:lang w:val="en-GB"/>
              </w:rPr>
            </w:pPr>
          </w:p>
        </w:tc>
        <w:tc>
          <w:tcPr>
            <w:tcW w:w="3544" w:type="dxa"/>
          </w:tcPr>
          <w:p w14:paraId="4315678E" w14:textId="77777777" w:rsidR="007157A6" w:rsidRPr="007157A6" w:rsidRDefault="007157A6" w:rsidP="007157A6">
            <w:pPr>
              <w:rPr>
                <w:lang w:val="en-GB"/>
              </w:rPr>
            </w:pPr>
            <w:r w:rsidRPr="007157A6">
              <w:rPr>
                <w:lang w:val="en-GB"/>
              </w:rPr>
              <w:t>Practicability</w:t>
            </w:r>
          </w:p>
        </w:tc>
        <w:tc>
          <w:tcPr>
            <w:tcW w:w="418" w:type="dxa"/>
          </w:tcPr>
          <w:p w14:paraId="27328994" w14:textId="77777777" w:rsidR="007157A6" w:rsidRPr="007157A6" w:rsidRDefault="007157A6" w:rsidP="007157A6">
            <w:pPr>
              <w:rPr>
                <w:lang w:val="en-GB"/>
              </w:rPr>
            </w:pPr>
          </w:p>
        </w:tc>
        <w:tc>
          <w:tcPr>
            <w:tcW w:w="418" w:type="dxa"/>
          </w:tcPr>
          <w:p w14:paraId="58D4C82F" w14:textId="77777777" w:rsidR="007157A6" w:rsidRPr="007157A6" w:rsidRDefault="007157A6" w:rsidP="007157A6">
            <w:pPr>
              <w:rPr>
                <w:lang w:val="en-GB"/>
              </w:rPr>
            </w:pPr>
          </w:p>
        </w:tc>
        <w:tc>
          <w:tcPr>
            <w:tcW w:w="418" w:type="dxa"/>
          </w:tcPr>
          <w:p w14:paraId="76108F9C" w14:textId="77777777" w:rsidR="007157A6" w:rsidRPr="007157A6" w:rsidRDefault="007157A6" w:rsidP="007157A6">
            <w:pPr>
              <w:rPr>
                <w:lang w:val="en-GB"/>
              </w:rPr>
            </w:pPr>
          </w:p>
        </w:tc>
        <w:tc>
          <w:tcPr>
            <w:tcW w:w="418" w:type="dxa"/>
          </w:tcPr>
          <w:p w14:paraId="74623A05" w14:textId="77777777" w:rsidR="007157A6" w:rsidRPr="007157A6" w:rsidRDefault="007157A6" w:rsidP="007157A6">
            <w:pPr>
              <w:rPr>
                <w:lang w:val="en-GB"/>
              </w:rPr>
            </w:pPr>
          </w:p>
        </w:tc>
        <w:tc>
          <w:tcPr>
            <w:tcW w:w="419" w:type="dxa"/>
          </w:tcPr>
          <w:p w14:paraId="7758D6D0" w14:textId="77777777" w:rsidR="007157A6" w:rsidRPr="007157A6" w:rsidRDefault="007157A6" w:rsidP="007157A6">
            <w:pPr>
              <w:rPr>
                <w:lang w:val="en-GB"/>
              </w:rPr>
            </w:pPr>
          </w:p>
        </w:tc>
      </w:tr>
      <w:tr w:rsidR="007157A6" w:rsidRPr="007157A6" w14:paraId="43531014" w14:textId="77777777" w:rsidTr="00C850ED">
        <w:trPr>
          <w:trHeight w:val="866"/>
        </w:trPr>
        <w:tc>
          <w:tcPr>
            <w:tcW w:w="8642" w:type="dxa"/>
            <w:vMerge/>
          </w:tcPr>
          <w:p w14:paraId="79F77CBF" w14:textId="77777777" w:rsidR="007157A6" w:rsidRPr="007157A6" w:rsidRDefault="007157A6" w:rsidP="007157A6">
            <w:pPr>
              <w:rPr>
                <w:lang w:val="en-GB"/>
              </w:rPr>
            </w:pPr>
          </w:p>
        </w:tc>
        <w:tc>
          <w:tcPr>
            <w:tcW w:w="3544" w:type="dxa"/>
          </w:tcPr>
          <w:p w14:paraId="26799470"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14059A4" w14:textId="77777777" w:rsidR="007157A6" w:rsidRPr="007157A6" w:rsidRDefault="007157A6" w:rsidP="007157A6">
            <w:pPr>
              <w:rPr>
                <w:lang w:val="en-GB"/>
              </w:rPr>
            </w:pPr>
          </w:p>
        </w:tc>
        <w:tc>
          <w:tcPr>
            <w:tcW w:w="418" w:type="dxa"/>
          </w:tcPr>
          <w:p w14:paraId="3CBBB0F6" w14:textId="77777777" w:rsidR="007157A6" w:rsidRPr="007157A6" w:rsidRDefault="007157A6" w:rsidP="007157A6">
            <w:pPr>
              <w:rPr>
                <w:lang w:val="en-GB"/>
              </w:rPr>
            </w:pPr>
          </w:p>
        </w:tc>
        <w:tc>
          <w:tcPr>
            <w:tcW w:w="418" w:type="dxa"/>
          </w:tcPr>
          <w:p w14:paraId="078092AE" w14:textId="77777777" w:rsidR="007157A6" w:rsidRPr="007157A6" w:rsidRDefault="007157A6" w:rsidP="007157A6">
            <w:pPr>
              <w:rPr>
                <w:lang w:val="en-GB"/>
              </w:rPr>
            </w:pPr>
          </w:p>
        </w:tc>
        <w:tc>
          <w:tcPr>
            <w:tcW w:w="418" w:type="dxa"/>
          </w:tcPr>
          <w:p w14:paraId="6A87D15C" w14:textId="77777777" w:rsidR="007157A6" w:rsidRPr="007157A6" w:rsidRDefault="007157A6" w:rsidP="007157A6">
            <w:pPr>
              <w:rPr>
                <w:lang w:val="en-GB"/>
              </w:rPr>
            </w:pPr>
          </w:p>
        </w:tc>
        <w:tc>
          <w:tcPr>
            <w:tcW w:w="419" w:type="dxa"/>
          </w:tcPr>
          <w:p w14:paraId="7777A071" w14:textId="77777777" w:rsidR="007157A6" w:rsidRPr="007157A6" w:rsidRDefault="007157A6" w:rsidP="007157A6">
            <w:pPr>
              <w:rPr>
                <w:lang w:val="en-GB"/>
              </w:rPr>
            </w:pPr>
          </w:p>
        </w:tc>
      </w:tr>
      <w:tr w:rsidR="007157A6" w:rsidRPr="007157A6" w14:paraId="1722D7D2" w14:textId="77777777" w:rsidTr="00C850ED">
        <w:tc>
          <w:tcPr>
            <w:tcW w:w="8642" w:type="dxa"/>
            <w:shd w:val="clear" w:color="auto" w:fill="D9D9D9" w:themeFill="background1" w:themeFillShade="D9"/>
          </w:tcPr>
          <w:p w14:paraId="649CA103"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67D9D072"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2A1E95E2"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7268CB3A"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39495EE4"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4ECA1D2E"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3ACE4B12" w14:textId="77777777" w:rsidR="007157A6" w:rsidRPr="007157A6" w:rsidRDefault="007157A6" w:rsidP="007157A6">
            <w:pPr>
              <w:rPr>
                <w:b/>
                <w:lang w:val="en-GB"/>
              </w:rPr>
            </w:pPr>
            <w:r w:rsidRPr="007157A6">
              <w:rPr>
                <w:b/>
                <w:lang w:val="en-GB"/>
              </w:rPr>
              <w:t>1</w:t>
            </w:r>
          </w:p>
        </w:tc>
      </w:tr>
      <w:tr w:rsidR="007157A6" w:rsidRPr="007157A6" w14:paraId="167C8705" w14:textId="77777777" w:rsidTr="00C850ED">
        <w:tc>
          <w:tcPr>
            <w:tcW w:w="8642" w:type="dxa"/>
            <w:vMerge w:val="restart"/>
          </w:tcPr>
          <w:p w14:paraId="2EBE4472" w14:textId="77777777" w:rsidR="007157A6" w:rsidRPr="007157A6" w:rsidRDefault="007157A6" w:rsidP="00717905">
            <w:pPr>
              <w:rPr>
                <w:rFonts w:ascii="Calibri" w:hAnsi="Calibri"/>
                <w:lang w:val="en-GB"/>
              </w:rPr>
            </w:pPr>
            <w:r w:rsidRPr="007157A6">
              <w:rPr>
                <w:rFonts w:ascii="Calibri" w:hAnsi="Calibri"/>
                <w:lang w:val="en-GB"/>
              </w:rPr>
              <w:t>The following measures are recommended for all areas of the financial industry:</w:t>
            </w:r>
            <w:r w:rsidR="00717905">
              <w:rPr>
                <w:rFonts w:ascii="Calibri" w:hAnsi="Calibri"/>
                <w:lang w:val="en-GB"/>
              </w:rPr>
              <w:t xml:space="preserve"> </w:t>
            </w:r>
            <w:r w:rsidRPr="007157A6">
              <w:rPr>
                <w:lang w:val="en-GB"/>
              </w:rPr>
              <w:t>Prepare an overview of geographic regions, sectors and the size of companies in which the given financial market player is active, broken down by equity interests, loans, securities issuers for proprietary investments and asset management (analogous to GRI GS6).</w:t>
            </w:r>
          </w:p>
        </w:tc>
        <w:tc>
          <w:tcPr>
            <w:tcW w:w="3544" w:type="dxa"/>
          </w:tcPr>
          <w:p w14:paraId="545482E2" w14:textId="77777777" w:rsidR="007157A6" w:rsidRPr="007157A6" w:rsidRDefault="007157A6" w:rsidP="007157A6">
            <w:pPr>
              <w:rPr>
                <w:lang w:val="en-GB"/>
              </w:rPr>
            </w:pPr>
            <w:r w:rsidRPr="007157A6">
              <w:rPr>
                <w:lang w:val="en-GB"/>
              </w:rPr>
              <w:t>Will foster Sustainable Finance in Germany</w:t>
            </w:r>
          </w:p>
        </w:tc>
        <w:tc>
          <w:tcPr>
            <w:tcW w:w="418" w:type="dxa"/>
          </w:tcPr>
          <w:p w14:paraId="492DFE27" w14:textId="77777777" w:rsidR="007157A6" w:rsidRPr="007157A6" w:rsidRDefault="007157A6" w:rsidP="007157A6">
            <w:pPr>
              <w:rPr>
                <w:lang w:val="en-GB"/>
              </w:rPr>
            </w:pPr>
          </w:p>
        </w:tc>
        <w:tc>
          <w:tcPr>
            <w:tcW w:w="418" w:type="dxa"/>
          </w:tcPr>
          <w:p w14:paraId="047C0725" w14:textId="77777777" w:rsidR="007157A6" w:rsidRPr="007157A6" w:rsidRDefault="007157A6" w:rsidP="007157A6">
            <w:pPr>
              <w:rPr>
                <w:lang w:val="en-GB"/>
              </w:rPr>
            </w:pPr>
          </w:p>
        </w:tc>
        <w:tc>
          <w:tcPr>
            <w:tcW w:w="418" w:type="dxa"/>
          </w:tcPr>
          <w:p w14:paraId="252ADC47" w14:textId="77777777" w:rsidR="007157A6" w:rsidRPr="007157A6" w:rsidRDefault="007157A6" w:rsidP="007157A6">
            <w:pPr>
              <w:rPr>
                <w:lang w:val="en-GB"/>
              </w:rPr>
            </w:pPr>
          </w:p>
        </w:tc>
        <w:tc>
          <w:tcPr>
            <w:tcW w:w="418" w:type="dxa"/>
          </w:tcPr>
          <w:p w14:paraId="78514E5B" w14:textId="77777777" w:rsidR="007157A6" w:rsidRPr="007157A6" w:rsidRDefault="007157A6" w:rsidP="007157A6">
            <w:pPr>
              <w:rPr>
                <w:lang w:val="en-GB"/>
              </w:rPr>
            </w:pPr>
          </w:p>
        </w:tc>
        <w:tc>
          <w:tcPr>
            <w:tcW w:w="419" w:type="dxa"/>
          </w:tcPr>
          <w:p w14:paraId="6237EC99" w14:textId="77777777" w:rsidR="007157A6" w:rsidRPr="007157A6" w:rsidRDefault="007157A6" w:rsidP="007157A6">
            <w:pPr>
              <w:rPr>
                <w:lang w:val="en-GB"/>
              </w:rPr>
            </w:pPr>
          </w:p>
        </w:tc>
      </w:tr>
      <w:tr w:rsidR="007157A6" w:rsidRPr="007157A6" w14:paraId="77368196" w14:textId="77777777" w:rsidTr="00C850ED">
        <w:tc>
          <w:tcPr>
            <w:tcW w:w="8642" w:type="dxa"/>
            <w:vMerge/>
          </w:tcPr>
          <w:p w14:paraId="425491B3" w14:textId="77777777" w:rsidR="007157A6" w:rsidRPr="007157A6" w:rsidRDefault="007157A6" w:rsidP="007157A6">
            <w:pPr>
              <w:rPr>
                <w:lang w:val="en-GB"/>
              </w:rPr>
            </w:pPr>
          </w:p>
        </w:tc>
        <w:tc>
          <w:tcPr>
            <w:tcW w:w="3544" w:type="dxa"/>
          </w:tcPr>
          <w:p w14:paraId="4166536C" w14:textId="77777777" w:rsidR="007157A6" w:rsidRPr="007157A6" w:rsidRDefault="007157A6" w:rsidP="007157A6">
            <w:pPr>
              <w:rPr>
                <w:lang w:val="en-GB"/>
              </w:rPr>
            </w:pPr>
            <w:r w:rsidRPr="007157A6">
              <w:rPr>
                <w:lang w:val="en-GB"/>
              </w:rPr>
              <w:t>Level of ambition</w:t>
            </w:r>
          </w:p>
        </w:tc>
        <w:tc>
          <w:tcPr>
            <w:tcW w:w="418" w:type="dxa"/>
          </w:tcPr>
          <w:p w14:paraId="0D9B3672" w14:textId="77777777" w:rsidR="007157A6" w:rsidRPr="007157A6" w:rsidRDefault="007157A6" w:rsidP="007157A6">
            <w:pPr>
              <w:rPr>
                <w:lang w:val="en-GB"/>
              </w:rPr>
            </w:pPr>
          </w:p>
        </w:tc>
        <w:tc>
          <w:tcPr>
            <w:tcW w:w="418" w:type="dxa"/>
          </w:tcPr>
          <w:p w14:paraId="16846F96" w14:textId="77777777" w:rsidR="007157A6" w:rsidRPr="007157A6" w:rsidRDefault="007157A6" w:rsidP="007157A6">
            <w:pPr>
              <w:rPr>
                <w:lang w:val="en-GB"/>
              </w:rPr>
            </w:pPr>
          </w:p>
        </w:tc>
        <w:tc>
          <w:tcPr>
            <w:tcW w:w="418" w:type="dxa"/>
          </w:tcPr>
          <w:p w14:paraId="71B97B7F" w14:textId="77777777" w:rsidR="007157A6" w:rsidRPr="007157A6" w:rsidRDefault="007157A6" w:rsidP="007157A6">
            <w:pPr>
              <w:rPr>
                <w:lang w:val="en-GB"/>
              </w:rPr>
            </w:pPr>
          </w:p>
        </w:tc>
        <w:tc>
          <w:tcPr>
            <w:tcW w:w="418" w:type="dxa"/>
          </w:tcPr>
          <w:p w14:paraId="73C3A534" w14:textId="77777777" w:rsidR="007157A6" w:rsidRPr="007157A6" w:rsidRDefault="007157A6" w:rsidP="007157A6">
            <w:pPr>
              <w:rPr>
                <w:lang w:val="en-GB"/>
              </w:rPr>
            </w:pPr>
          </w:p>
        </w:tc>
        <w:tc>
          <w:tcPr>
            <w:tcW w:w="419" w:type="dxa"/>
          </w:tcPr>
          <w:p w14:paraId="33A5B5A6" w14:textId="77777777" w:rsidR="007157A6" w:rsidRPr="007157A6" w:rsidRDefault="007157A6" w:rsidP="007157A6">
            <w:pPr>
              <w:rPr>
                <w:lang w:val="en-GB"/>
              </w:rPr>
            </w:pPr>
          </w:p>
        </w:tc>
      </w:tr>
      <w:tr w:rsidR="007157A6" w:rsidRPr="007157A6" w14:paraId="4F6858C3" w14:textId="77777777" w:rsidTr="00C850ED">
        <w:tc>
          <w:tcPr>
            <w:tcW w:w="8642" w:type="dxa"/>
            <w:vMerge/>
          </w:tcPr>
          <w:p w14:paraId="011640FF" w14:textId="77777777" w:rsidR="007157A6" w:rsidRPr="007157A6" w:rsidRDefault="007157A6" w:rsidP="007157A6">
            <w:pPr>
              <w:rPr>
                <w:lang w:val="en-GB"/>
              </w:rPr>
            </w:pPr>
          </w:p>
        </w:tc>
        <w:tc>
          <w:tcPr>
            <w:tcW w:w="3544" w:type="dxa"/>
          </w:tcPr>
          <w:p w14:paraId="4DC82085" w14:textId="77777777" w:rsidR="007157A6" w:rsidRPr="007157A6" w:rsidRDefault="007157A6" w:rsidP="007157A6">
            <w:pPr>
              <w:rPr>
                <w:lang w:val="en-GB"/>
              </w:rPr>
            </w:pPr>
            <w:r w:rsidRPr="007157A6">
              <w:rPr>
                <w:lang w:val="en-GB"/>
              </w:rPr>
              <w:t>Practicability</w:t>
            </w:r>
          </w:p>
        </w:tc>
        <w:tc>
          <w:tcPr>
            <w:tcW w:w="418" w:type="dxa"/>
          </w:tcPr>
          <w:p w14:paraId="11947CC4" w14:textId="77777777" w:rsidR="007157A6" w:rsidRPr="007157A6" w:rsidRDefault="007157A6" w:rsidP="007157A6">
            <w:pPr>
              <w:rPr>
                <w:lang w:val="en-GB"/>
              </w:rPr>
            </w:pPr>
          </w:p>
        </w:tc>
        <w:tc>
          <w:tcPr>
            <w:tcW w:w="418" w:type="dxa"/>
          </w:tcPr>
          <w:p w14:paraId="0883201B" w14:textId="77777777" w:rsidR="007157A6" w:rsidRPr="007157A6" w:rsidRDefault="007157A6" w:rsidP="007157A6">
            <w:pPr>
              <w:rPr>
                <w:lang w:val="en-GB"/>
              </w:rPr>
            </w:pPr>
          </w:p>
        </w:tc>
        <w:tc>
          <w:tcPr>
            <w:tcW w:w="418" w:type="dxa"/>
          </w:tcPr>
          <w:p w14:paraId="2973686D" w14:textId="77777777" w:rsidR="007157A6" w:rsidRPr="007157A6" w:rsidRDefault="007157A6" w:rsidP="007157A6">
            <w:pPr>
              <w:rPr>
                <w:lang w:val="en-GB"/>
              </w:rPr>
            </w:pPr>
          </w:p>
        </w:tc>
        <w:tc>
          <w:tcPr>
            <w:tcW w:w="418" w:type="dxa"/>
          </w:tcPr>
          <w:p w14:paraId="4B79F56A" w14:textId="77777777" w:rsidR="007157A6" w:rsidRPr="007157A6" w:rsidRDefault="007157A6" w:rsidP="007157A6">
            <w:pPr>
              <w:rPr>
                <w:lang w:val="en-GB"/>
              </w:rPr>
            </w:pPr>
          </w:p>
        </w:tc>
        <w:tc>
          <w:tcPr>
            <w:tcW w:w="419" w:type="dxa"/>
          </w:tcPr>
          <w:p w14:paraId="20C8B8DA" w14:textId="77777777" w:rsidR="007157A6" w:rsidRPr="007157A6" w:rsidRDefault="007157A6" w:rsidP="007157A6">
            <w:pPr>
              <w:rPr>
                <w:lang w:val="en-GB"/>
              </w:rPr>
            </w:pPr>
          </w:p>
        </w:tc>
      </w:tr>
      <w:tr w:rsidR="007157A6" w:rsidRPr="007157A6" w14:paraId="5DE7FE5E" w14:textId="77777777" w:rsidTr="00C850ED">
        <w:tc>
          <w:tcPr>
            <w:tcW w:w="8642" w:type="dxa"/>
            <w:vMerge/>
          </w:tcPr>
          <w:p w14:paraId="71221B4F" w14:textId="77777777" w:rsidR="007157A6" w:rsidRPr="007157A6" w:rsidRDefault="007157A6" w:rsidP="007157A6">
            <w:pPr>
              <w:rPr>
                <w:lang w:val="en-GB"/>
              </w:rPr>
            </w:pPr>
          </w:p>
        </w:tc>
        <w:tc>
          <w:tcPr>
            <w:tcW w:w="3544" w:type="dxa"/>
          </w:tcPr>
          <w:p w14:paraId="447EAA2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A533938" w14:textId="77777777" w:rsidR="007157A6" w:rsidRPr="007157A6" w:rsidRDefault="007157A6" w:rsidP="007157A6">
            <w:pPr>
              <w:rPr>
                <w:lang w:val="en-GB"/>
              </w:rPr>
            </w:pPr>
          </w:p>
        </w:tc>
        <w:tc>
          <w:tcPr>
            <w:tcW w:w="418" w:type="dxa"/>
          </w:tcPr>
          <w:p w14:paraId="75C6EE02" w14:textId="77777777" w:rsidR="007157A6" w:rsidRPr="007157A6" w:rsidRDefault="007157A6" w:rsidP="007157A6">
            <w:pPr>
              <w:rPr>
                <w:lang w:val="en-GB"/>
              </w:rPr>
            </w:pPr>
          </w:p>
        </w:tc>
        <w:tc>
          <w:tcPr>
            <w:tcW w:w="418" w:type="dxa"/>
          </w:tcPr>
          <w:p w14:paraId="6BA5CCAB" w14:textId="77777777" w:rsidR="007157A6" w:rsidRPr="007157A6" w:rsidRDefault="007157A6" w:rsidP="007157A6">
            <w:pPr>
              <w:rPr>
                <w:lang w:val="en-GB"/>
              </w:rPr>
            </w:pPr>
          </w:p>
        </w:tc>
        <w:tc>
          <w:tcPr>
            <w:tcW w:w="418" w:type="dxa"/>
          </w:tcPr>
          <w:p w14:paraId="52A9A565" w14:textId="77777777" w:rsidR="007157A6" w:rsidRPr="007157A6" w:rsidRDefault="007157A6" w:rsidP="007157A6">
            <w:pPr>
              <w:rPr>
                <w:lang w:val="en-GB"/>
              </w:rPr>
            </w:pPr>
          </w:p>
        </w:tc>
        <w:tc>
          <w:tcPr>
            <w:tcW w:w="419" w:type="dxa"/>
          </w:tcPr>
          <w:p w14:paraId="513AF579" w14:textId="77777777" w:rsidR="007157A6" w:rsidRPr="007157A6" w:rsidRDefault="007157A6" w:rsidP="007157A6">
            <w:pPr>
              <w:rPr>
                <w:lang w:val="en-GB"/>
              </w:rPr>
            </w:pPr>
          </w:p>
        </w:tc>
      </w:tr>
      <w:tr w:rsidR="007157A6" w:rsidRPr="007157A6" w14:paraId="576891D8" w14:textId="77777777" w:rsidTr="00C850ED">
        <w:tc>
          <w:tcPr>
            <w:tcW w:w="8642" w:type="dxa"/>
            <w:shd w:val="clear" w:color="auto" w:fill="D9D9D9" w:themeFill="background1" w:themeFillShade="D9"/>
          </w:tcPr>
          <w:p w14:paraId="28164D11"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A9754BF"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A9B1FD8"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C217011"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9D52AC5"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41D6A54D"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62905DBA" w14:textId="77777777" w:rsidR="007157A6" w:rsidRPr="007157A6" w:rsidRDefault="007157A6" w:rsidP="007157A6">
            <w:pPr>
              <w:rPr>
                <w:lang w:val="en-GB"/>
              </w:rPr>
            </w:pPr>
            <w:r w:rsidRPr="007157A6">
              <w:rPr>
                <w:b/>
                <w:lang w:val="en-GB"/>
              </w:rPr>
              <w:t>1</w:t>
            </w:r>
          </w:p>
        </w:tc>
      </w:tr>
      <w:tr w:rsidR="007157A6" w:rsidRPr="007157A6" w14:paraId="3D0F4AD0" w14:textId="77777777" w:rsidTr="00C850ED">
        <w:tc>
          <w:tcPr>
            <w:tcW w:w="8642" w:type="dxa"/>
            <w:vMerge w:val="restart"/>
          </w:tcPr>
          <w:p w14:paraId="61AFED2C" w14:textId="77777777" w:rsidR="007157A6" w:rsidRPr="007157A6" w:rsidRDefault="007157A6" w:rsidP="00717905">
            <w:pPr>
              <w:rPr>
                <w:lang w:val="en-GB"/>
              </w:rPr>
            </w:pPr>
            <w:r w:rsidRPr="007157A6">
              <w:rPr>
                <w:rFonts w:ascii="Calibri" w:hAnsi="Calibri"/>
                <w:lang w:val="en-GB"/>
              </w:rPr>
              <w:t>The following measures are recommended for all areas of the financial industry:</w:t>
            </w:r>
            <w:r w:rsidR="00717905">
              <w:rPr>
                <w:rFonts w:ascii="Calibri" w:hAnsi="Calibri"/>
                <w:lang w:val="en-GB"/>
              </w:rPr>
              <w:t xml:space="preserve"> </w:t>
            </w:r>
            <w:r w:rsidRPr="007157A6">
              <w:rPr>
                <w:lang w:val="en-GB"/>
              </w:rPr>
              <w:t>Disclose the extent to which a bank and/or the products it markets conform to the taxonomy. This includes analysing loans in excess of €1 million as well as all securities investments, with the result that the scope of the EU taxonomy is extended to all financial market players.</w:t>
            </w:r>
          </w:p>
        </w:tc>
        <w:tc>
          <w:tcPr>
            <w:tcW w:w="3544" w:type="dxa"/>
          </w:tcPr>
          <w:p w14:paraId="352AABCB" w14:textId="77777777" w:rsidR="007157A6" w:rsidRPr="007157A6" w:rsidRDefault="007157A6" w:rsidP="007157A6">
            <w:pPr>
              <w:rPr>
                <w:lang w:val="en-GB"/>
              </w:rPr>
            </w:pPr>
            <w:r w:rsidRPr="007157A6">
              <w:rPr>
                <w:lang w:val="en-GB"/>
              </w:rPr>
              <w:t>Will foster Sustainable Finance in Germany</w:t>
            </w:r>
          </w:p>
        </w:tc>
        <w:tc>
          <w:tcPr>
            <w:tcW w:w="418" w:type="dxa"/>
          </w:tcPr>
          <w:p w14:paraId="410D596C" w14:textId="77777777" w:rsidR="007157A6" w:rsidRPr="007157A6" w:rsidRDefault="007157A6" w:rsidP="007157A6">
            <w:pPr>
              <w:rPr>
                <w:lang w:val="en-GB"/>
              </w:rPr>
            </w:pPr>
          </w:p>
        </w:tc>
        <w:tc>
          <w:tcPr>
            <w:tcW w:w="418" w:type="dxa"/>
          </w:tcPr>
          <w:p w14:paraId="382C536F" w14:textId="77777777" w:rsidR="007157A6" w:rsidRPr="007157A6" w:rsidRDefault="007157A6" w:rsidP="007157A6">
            <w:pPr>
              <w:rPr>
                <w:lang w:val="en-GB"/>
              </w:rPr>
            </w:pPr>
          </w:p>
        </w:tc>
        <w:tc>
          <w:tcPr>
            <w:tcW w:w="418" w:type="dxa"/>
          </w:tcPr>
          <w:p w14:paraId="1789A2F1" w14:textId="77777777" w:rsidR="007157A6" w:rsidRPr="007157A6" w:rsidRDefault="007157A6" w:rsidP="007157A6">
            <w:pPr>
              <w:rPr>
                <w:lang w:val="en-GB"/>
              </w:rPr>
            </w:pPr>
          </w:p>
        </w:tc>
        <w:tc>
          <w:tcPr>
            <w:tcW w:w="418" w:type="dxa"/>
          </w:tcPr>
          <w:p w14:paraId="163CB452" w14:textId="77777777" w:rsidR="007157A6" w:rsidRPr="007157A6" w:rsidRDefault="007157A6" w:rsidP="007157A6">
            <w:pPr>
              <w:rPr>
                <w:lang w:val="en-GB"/>
              </w:rPr>
            </w:pPr>
          </w:p>
        </w:tc>
        <w:tc>
          <w:tcPr>
            <w:tcW w:w="419" w:type="dxa"/>
          </w:tcPr>
          <w:p w14:paraId="31DE6D2E" w14:textId="77777777" w:rsidR="007157A6" w:rsidRPr="007157A6" w:rsidRDefault="007157A6" w:rsidP="007157A6">
            <w:pPr>
              <w:rPr>
                <w:lang w:val="en-GB"/>
              </w:rPr>
            </w:pPr>
          </w:p>
        </w:tc>
      </w:tr>
      <w:tr w:rsidR="007157A6" w:rsidRPr="007157A6" w14:paraId="2925E135" w14:textId="77777777" w:rsidTr="00C850ED">
        <w:tc>
          <w:tcPr>
            <w:tcW w:w="8642" w:type="dxa"/>
            <w:vMerge/>
          </w:tcPr>
          <w:p w14:paraId="0EB5E3E2" w14:textId="77777777" w:rsidR="007157A6" w:rsidRPr="007157A6" w:rsidRDefault="007157A6" w:rsidP="007157A6">
            <w:pPr>
              <w:rPr>
                <w:lang w:val="en-GB"/>
              </w:rPr>
            </w:pPr>
          </w:p>
        </w:tc>
        <w:tc>
          <w:tcPr>
            <w:tcW w:w="3544" w:type="dxa"/>
          </w:tcPr>
          <w:p w14:paraId="72F4122A" w14:textId="77777777" w:rsidR="007157A6" w:rsidRPr="007157A6" w:rsidRDefault="007157A6" w:rsidP="007157A6">
            <w:pPr>
              <w:rPr>
                <w:lang w:val="en-GB"/>
              </w:rPr>
            </w:pPr>
            <w:r w:rsidRPr="007157A6">
              <w:rPr>
                <w:lang w:val="en-GB"/>
              </w:rPr>
              <w:t>Level of ambition</w:t>
            </w:r>
          </w:p>
        </w:tc>
        <w:tc>
          <w:tcPr>
            <w:tcW w:w="418" w:type="dxa"/>
          </w:tcPr>
          <w:p w14:paraId="1869D6E3" w14:textId="77777777" w:rsidR="007157A6" w:rsidRPr="007157A6" w:rsidRDefault="007157A6" w:rsidP="007157A6">
            <w:pPr>
              <w:rPr>
                <w:lang w:val="en-GB"/>
              </w:rPr>
            </w:pPr>
          </w:p>
        </w:tc>
        <w:tc>
          <w:tcPr>
            <w:tcW w:w="418" w:type="dxa"/>
          </w:tcPr>
          <w:p w14:paraId="2F657F3C" w14:textId="77777777" w:rsidR="007157A6" w:rsidRPr="007157A6" w:rsidRDefault="007157A6" w:rsidP="007157A6">
            <w:pPr>
              <w:rPr>
                <w:lang w:val="en-GB"/>
              </w:rPr>
            </w:pPr>
          </w:p>
        </w:tc>
        <w:tc>
          <w:tcPr>
            <w:tcW w:w="418" w:type="dxa"/>
          </w:tcPr>
          <w:p w14:paraId="63CEE02F" w14:textId="77777777" w:rsidR="007157A6" w:rsidRPr="007157A6" w:rsidRDefault="007157A6" w:rsidP="007157A6">
            <w:pPr>
              <w:rPr>
                <w:lang w:val="en-GB"/>
              </w:rPr>
            </w:pPr>
          </w:p>
        </w:tc>
        <w:tc>
          <w:tcPr>
            <w:tcW w:w="418" w:type="dxa"/>
          </w:tcPr>
          <w:p w14:paraId="127B5E8B" w14:textId="77777777" w:rsidR="007157A6" w:rsidRPr="007157A6" w:rsidRDefault="007157A6" w:rsidP="007157A6">
            <w:pPr>
              <w:rPr>
                <w:lang w:val="en-GB"/>
              </w:rPr>
            </w:pPr>
          </w:p>
        </w:tc>
        <w:tc>
          <w:tcPr>
            <w:tcW w:w="419" w:type="dxa"/>
          </w:tcPr>
          <w:p w14:paraId="21E6AA74" w14:textId="77777777" w:rsidR="007157A6" w:rsidRPr="007157A6" w:rsidRDefault="007157A6" w:rsidP="007157A6">
            <w:pPr>
              <w:rPr>
                <w:lang w:val="en-GB"/>
              </w:rPr>
            </w:pPr>
          </w:p>
        </w:tc>
      </w:tr>
      <w:tr w:rsidR="007157A6" w:rsidRPr="007157A6" w14:paraId="0671E51F" w14:textId="77777777" w:rsidTr="00C850ED">
        <w:tc>
          <w:tcPr>
            <w:tcW w:w="8642" w:type="dxa"/>
            <w:vMerge/>
          </w:tcPr>
          <w:p w14:paraId="2D3D8985" w14:textId="77777777" w:rsidR="007157A6" w:rsidRPr="007157A6" w:rsidRDefault="007157A6" w:rsidP="007157A6">
            <w:pPr>
              <w:rPr>
                <w:lang w:val="en-GB"/>
              </w:rPr>
            </w:pPr>
          </w:p>
        </w:tc>
        <w:tc>
          <w:tcPr>
            <w:tcW w:w="3544" w:type="dxa"/>
          </w:tcPr>
          <w:p w14:paraId="2CD16FEF" w14:textId="77777777" w:rsidR="007157A6" w:rsidRPr="007157A6" w:rsidRDefault="007157A6" w:rsidP="007157A6">
            <w:pPr>
              <w:rPr>
                <w:lang w:val="en-GB"/>
              </w:rPr>
            </w:pPr>
            <w:r w:rsidRPr="007157A6">
              <w:rPr>
                <w:lang w:val="en-GB"/>
              </w:rPr>
              <w:t>Practicability</w:t>
            </w:r>
          </w:p>
        </w:tc>
        <w:tc>
          <w:tcPr>
            <w:tcW w:w="418" w:type="dxa"/>
          </w:tcPr>
          <w:p w14:paraId="79BFFBA3" w14:textId="77777777" w:rsidR="007157A6" w:rsidRPr="007157A6" w:rsidRDefault="007157A6" w:rsidP="007157A6">
            <w:pPr>
              <w:rPr>
                <w:lang w:val="en-GB"/>
              </w:rPr>
            </w:pPr>
          </w:p>
        </w:tc>
        <w:tc>
          <w:tcPr>
            <w:tcW w:w="418" w:type="dxa"/>
          </w:tcPr>
          <w:p w14:paraId="552597EC" w14:textId="77777777" w:rsidR="007157A6" w:rsidRPr="007157A6" w:rsidRDefault="007157A6" w:rsidP="007157A6">
            <w:pPr>
              <w:rPr>
                <w:lang w:val="en-GB"/>
              </w:rPr>
            </w:pPr>
          </w:p>
        </w:tc>
        <w:tc>
          <w:tcPr>
            <w:tcW w:w="418" w:type="dxa"/>
          </w:tcPr>
          <w:p w14:paraId="1E420E61" w14:textId="77777777" w:rsidR="007157A6" w:rsidRPr="007157A6" w:rsidRDefault="007157A6" w:rsidP="007157A6">
            <w:pPr>
              <w:rPr>
                <w:lang w:val="en-GB"/>
              </w:rPr>
            </w:pPr>
          </w:p>
        </w:tc>
        <w:tc>
          <w:tcPr>
            <w:tcW w:w="418" w:type="dxa"/>
          </w:tcPr>
          <w:p w14:paraId="672E6A50" w14:textId="77777777" w:rsidR="007157A6" w:rsidRPr="007157A6" w:rsidRDefault="007157A6" w:rsidP="007157A6">
            <w:pPr>
              <w:rPr>
                <w:lang w:val="en-GB"/>
              </w:rPr>
            </w:pPr>
          </w:p>
        </w:tc>
        <w:tc>
          <w:tcPr>
            <w:tcW w:w="419" w:type="dxa"/>
          </w:tcPr>
          <w:p w14:paraId="7AB17F69" w14:textId="77777777" w:rsidR="007157A6" w:rsidRPr="007157A6" w:rsidRDefault="007157A6" w:rsidP="007157A6">
            <w:pPr>
              <w:rPr>
                <w:lang w:val="en-GB"/>
              </w:rPr>
            </w:pPr>
          </w:p>
        </w:tc>
      </w:tr>
      <w:tr w:rsidR="007157A6" w:rsidRPr="007157A6" w14:paraId="4581A014" w14:textId="77777777" w:rsidTr="00C850ED">
        <w:tc>
          <w:tcPr>
            <w:tcW w:w="8642" w:type="dxa"/>
            <w:vMerge/>
          </w:tcPr>
          <w:p w14:paraId="5A6F810B" w14:textId="77777777" w:rsidR="007157A6" w:rsidRPr="007157A6" w:rsidRDefault="007157A6" w:rsidP="007157A6">
            <w:pPr>
              <w:rPr>
                <w:lang w:val="en-GB"/>
              </w:rPr>
            </w:pPr>
          </w:p>
        </w:tc>
        <w:tc>
          <w:tcPr>
            <w:tcW w:w="3544" w:type="dxa"/>
          </w:tcPr>
          <w:p w14:paraId="02B6785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D333FF4" w14:textId="77777777" w:rsidR="007157A6" w:rsidRPr="007157A6" w:rsidRDefault="007157A6" w:rsidP="007157A6">
            <w:pPr>
              <w:rPr>
                <w:lang w:val="en-GB"/>
              </w:rPr>
            </w:pPr>
          </w:p>
        </w:tc>
        <w:tc>
          <w:tcPr>
            <w:tcW w:w="418" w:type="dxa"/>
          </w:tcPr>
          <w:p w14:paraId="22293CC6" w14:textId="77777777" w:rsidR="007157A6" w:rsidRPr="007157A6" w:rsidRDefault="007157A6" w:rsidP="007157A6">
            <w:pPr>
              <w:rPr>
                <w:lang w:val="en-GB"/>
              </w:rPr>
            </w:pPr>
          </w:p>
        </w:tc>
        <w:tc>
          <w:tcPr>
            <w:tcW w:w="418" w:type="dxa"/>
          </w:tcPr>
          <w:p w14:paraId="230D4D33" w14:textId="77777777" w:rsidR="007157A6" w:rsidRPr="007157A6" w:rsidRDefault="007157A6" w:rsidP="007157A6">
            <w:pPr>
              <w:rPr>
                <w:lang w:val="en-GB"/>
              </w:rPr>
            </w:pPr>
          </w:p>
        </w:tc>
        <w:tc>
          <w:tcPr>
            <w:tcW w:w="418" w:type="dxa"/>
          </w:tcPr>
          <w:p w14:paraId="50576C20" w14:textId="77777777" w:rsidR="007157A6" w:rsidRPr="007157A6" w:rsidRDefault="007157A6" w:rsidP="007157A6">
            <w:pPr>
              <w:rPr>
                <w:lang w:val="en-GB"/>
              </w:rPr>
            </w:pPr>
          </w:p>
        </w:tc>
        <w:tc>
          <w:tcPr>
            <w:tcW w:w="419" w:type="dxa"/>
          </w:tcPr>
          <w:p w14:paraId="44DBF638" w14:textId="77777777" w:rsidR="007157A6" w:rsidRPr="007157A6" w:rsidRDefault="007157A6" w:rsidP="007157A6">
            <w:pPr>
              <w:rPr>
                <w:lang w:val="en-GB"/>
              </w:rPr>
            </w:pPr>
          </w:p>
        </w:tc>
      </w:tr>
      <w:tr w:rsidR="007157A6" w:rsidRPr="007157A6" w14:paraId="708B5378" w14:textId="77777777" w:rsidTr="00C850ED">
        <w:tc>
          <w:tcPr>
            <w:tcW w:w="8642" w:type="dxa"/>
            <w:shd w:val="clear" w:color="auto" w:fill="D9D9D9" w:themeFill="background1" w:themeFillShade="D9"/>
          </w:tcPr>
          <w:p w14:paraId="18E70206"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1456317"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DF74B11"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63077941"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0C3A7A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5D0380DE"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6A739E43" w14:textId="77777777" w:rsidR="007157A6" w:rsidRPr="007157A6" w:rsidRDefault="007157A6" w:rsidP="007157A6">
            <w:pPr>
              <w:rPr>
                <w:lang w:val="en-GB"/>
              </w:rPr>
            </w:pPr>
            <w:r w:rsidRPr="007157A6">
              <w:rPr>
                <w:b/>
                <w:lang w:val="en-GB"/>
              </w:rPr>
              <w:t>1</w:t>
            </w:r>
          </w:p>
        </w:tc>
      </w:tr>
      <w:tr w:rsidR="007157A6" w:rsidRPr="007157A6" w14:paraId="45F3E00E" w14:textId="77777777" w:rsidTr="00C850ED">
        <w:trPr>
          <w:trHeight w:val="999"/>
        </w:trPr>
        <w:tc>
          <w:tcPr>
            <w:tcW w:w="8642" w:type="dxa"/>
            <w:vMerge w:val="restart"/>
          </w:tcPr>
          <w:p w14:paraId="2C0E0859" w14:textId="77777777" w:rsidR="007157A6" w:rsidRPr="007157A6" w:rsidRDefault="007157A6" w:rsidP="007157A6">
            <w:pPr>
              <w:rPr>
                <w:lang w:val="en-GB"/>
              </w:rPr>
            </w:pPr>
            <w:r w:rsidRPr="007157A6">
              <w:rPr>
                <w:rFonts w:ascii="Calibri" w:hAnsi="Calibri"/>
                <w:lang w:val="en-GB"/>
              </w:rPr>
              <w:t>The following measures are recommended for all areas of the financial industry:</w:t>
            </w:r>
            <w:r w:rsidR="00717905">
              <w:rPr>
                <w:rFonts w:ascii="Calibri" w:hAnsi="Calibri"/>
                <w:lang w:val="en-GB"/>
              </w:rPr>
              <w:t xml:space="preserve"> </w:t>
            </w:r>
            <w:r w:rsidRPr="007157A6">
              <w:rPr>
                <w:lang w:val="en-GB"/>
              </w:rPr>
              <w:t>Publish relevant portfolio indicators, broken down by credit and securities portfolios, to assess “climate performance” and its compatibility with scientific findings. This assessment may be based on the following existing initiatives. Lessons learned from the experiences gained in that connection can be used to refine the concept:</w:t>
            </w:r>
          </w:p>
          <w:p w14:paraId="31630B96" w14:textId="77777777" w:rsidR="007157A6" w:rsidRPr="007157A6" w:rsidRDefault="007157A6" w:rsidP="007157A6">
            <w:pPr>
              <w:numPr>
                <w:ilvl w:val="0"/>
                <w:numId w:val="30"/>
              </w:numPr>
              <w:contextualSpacing/>
              <w:rPr>
                <w:lang w:val="en-GB"/>
              </w:rPr>
            </w:pPr>
            <w:r w:rsidRPr="007157A6">
              <w:rPr>
                <w:lang w:val="en-GB"/>
              </w:rPr>
              <w:t xml:space="preserve">commitment on the part of institutional investors to disclose the compatibility of their portfolios with the reduction targets of the Paris Agreement on Climate Change and as </w:t>
            </w:r>
            <w:r w:rsidRPr="007157A6">
              <w:rPr>
                <w:lang w:val="en-GB"/>
              </w:rPr>
              <w:lastRenderedPageBreak/>
              <w:t xml:space="preserve">necessary their portfolios’ CO2 intensity including – to the extent possible – any benchmarking in relation to the NDC compatibility based on Art. 173 (binding but no sanctions) which applies in France, </w:t>
            </w:r>
          </w:p>
          <w:p w14:paraId="3FC03762" w14:textId="77777777" w:rsidR="007157A6" w:rsidRPr="007157A6" w:rsidRDefault="007157A6" w:rsidP="007157A6">
            <w:pPr>
              <w:numPr>
                <w:ilvl w:val="0"/>
                <w:numId w:val="30"/>
              </w:numPr>
              <w:contextualSpacing/>
              <w:rPr>
                <w:lang w:val="en-GB"/>
              </w:rPr>
            </w:pPr>
            <w:r w:rsidRPr="007157A6">
              <w:rPr>
                <w:lang w:val="en-GB"/>
              </w:rPr>
              <w:t>publication as per the TCFD,</w:t>
            </w:r>
          </w:p>
          <w:p w14:paraId="4C1985CA" w14:textId="77777777" w:rsidR="007157A6" w:rsidRPr="007157A6" w:rsidRDefault="007157A6" w:rsidP="007157A6">
            <w:pPr>
              <w:numPr>
                <w:ilvl w:val="0"/>
                <w:numId w:val="30"/>
              </w:numPr>
              <w:contextualSpacing/>
              <w:rPr>
                <w:lang w:val="en-GB"/>
              </w:rPr>
            </w:pPr>
            <w:r w:rsidRPr="007157A6">
              <w:rPr>
                <w:lang w:val="en-GB"/>
              </w:rPr>
              <w:t xml:space="preserve">the “Net Zero Asset Owner Alliance”, which develops approaches to </w:t>
            </w:r>
            <w:proofErr w:type="spellStart"/>
            <w:r w:rsidRPr="007157A6">
              <w:rPr>
                <w:lang w:val="en-GB"/>
              </w:rPr>
              <w:t>portfoli</w:t>
            </w:r>
            <w:proofErr w:type="spellEnd"/>
            <w:r w:rsidRPr="007157A6">
              <w:rPr>
                <w:lang w:val="en-GB"/>
              </w:rPr>
              <w:t xml:space="preserve"> decarbonisation to which the signatories commit,</w:t>
            </w:r>
          </w:p>
          <w:p w14:paraId="0A2E7266" w14:textId="77777777" w:rsidR="007157A6" w:rsidRPr="007157A6" w:rsidRDefault="007157A6" w:rsidP="007157A6">
            <w:pPr>
              <w:numPr>
                <w:ilvl w:val="0"/>
                <w:numId w:val="30"/>
              </w:numPr>
              <w:contextualSpacing/>
              <w:rPr>
                <w:lang w:val="en-GB"/>
              </w:rPr>
            </w:pPr>
            <w:r w:rsidRPr="007157A6">
              <w:rPr>
                <w:lang w:val="en-GB"/>
              </w:rPr>
              <w:t>a reference scenario that is to be developed as guidance for financial market players and as a basis for reporting.</w:t>
            </w:r>
          </w:p>
        </w:tc>
        <w:tc>
          <w:tcPr>
            <w:tcW w:w="3544" w:type="dxa"/>
          </w:tcPr>
          <w:p w14:paraId="32E768A1"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72A5BD74" w14:textId="77777777" w:rsidR="007157A6" w:rsidRPr="007157A6" w:rsidRDefault="007157A6" w:rsidP="007157A6">
            <w:pPr>
              <w:rPr>
                <w:lang w:val="en-GB"/>
              </w:rPr>
            </w:pPr>
          </w:p>
        </w:tc>
        <w:tc>
          <w:tcPr>
            <w:tcW w:w="418" w:type="dxa"/>
          </w:tcPr>
          <w:p w14:paraId="5B620A98" w14:textId="77777777" w:rsidR="007157A6" w:rsidRPr="007157A6" w:rsidRDefault="007157A6" w:rsidP="007157A6">
            <w:pPr>
              <w:rPr>
                <w:lang w:val="en-GB"/>
              </w:rPr>
            </w:pPr>
          </w:p>
        </w:tc>
        <w:tc>
          <w:tcPr>
            <w:tcW w:w="418" w:type="dxa"/>
          </w:tcPr>
          <w:p w14:paraId="5B3D4202" w14:textId="77777777" w:rsidR="007157A6" w:rsidRPr="007157A6" w:rsidRDefault="007157A6" w:rsidP="007157A6">
            <w:pPr>
              <w:rPr>
                <w:lang w:val="en-GB"/>
              </w:rPr>
            </w:pPr>
          </w:p>
        </w:tc>
        <w:tc>
          <w:tcPr>
            <w:tcW w:w="418" w:type="dxa"/>
          </w:tcPr>
          <w:p w14:paraId="581A29EE" w14:textId="77777777" w:rsidR="007157A6" w:rsidRPr="007157A6" w:rsidRDefault="007157A6" w:rsidP="007157A6">
            <w:pPr>
              <w:rPr>
                <w:lang w:val="en-GB"/>
              </w:rPr>
            </w:pPr>
          </w:p>
        </w:tc>
        <w:tc>
          <w:tcPr>
            <w:tcW w:w="419" w:type="dxa"/>
          </w:tcPr>
          <w:p w14:paraId="7EC77C2E" w14:textId="77777777" w:rsidR="007157A6" w:rsidRPr="007157A6" w:rsidRDefault="007157A6" w:rsidP="007157A6">
            <w:pPr>
              <w:rPr>
                <w:lang w:val="en-GB"/>
              </w:rPr>
            </w:pPr>
          </w:p>
        </w:tc>
      </w:tr>
      <w:tr w:rsidR="007157A6" w:rsidRPr="007157A6" w14:paraId="038E18ED" w14:textId="77777777" w:rsidTr="00C850ED">
        <w:trPr>
          <w:trHeight w:val="1000"/>
        </w:trPr>
        <w:tc>
          <w:tcPr>
            <w:tcW w:w="8642" w:type="dxa"/>
            <w:vMerge/>
          </w:tcPr>
          <w:p w14:paraId="37E74FEE" w14:textId="77777777" w:rsidR="007157A6" w:rsidRPr="007157A6" w:rsidRDefault="007157A6" w:rsidP="007157A6">
            <w:pPr>
              <w:rPr>
                <w:lang w:val="en-GB"/>
              </w:rPr>
            </w:pPr>
          </w:p>
        </w:tc>
        <w:tc>
          <w:tcPr>
            <w:tcW w:w="3544" w:type="dxa"/>
          </w:tcPr>
          <w:p w14:paraId="3FF224F1" w14:textId="77777777" w:rsidR="007157A6" w:rsidRPr="007157A6" w:rsidRDefault="007157A6" w:rsidP="007157A6">
            <w:pPr>
              <w:rPr>
                <w:lang w:val="en-GB"/>
              </w:rPr>
            </w:pPr>
            <w:r w:rsidRPr="007157A6">
              <w:rPr>
                <w:lang w:val="en-GB"/>
              </w:rPr>
              <w:t>Level of ambition</w:t>
            </w:r>
          </w:p>
        </w:tc>
        <w:tc>
          <w:tcPr>
            <w:tcW w:w="418" w:type="dxa"/>
          </w:tcPr>
          <w:p w14:paraId="47801654" w14:textId="77777777" w:rsidR="007157A6" w:rsidRPr="007157A6" w:rsidRDefault="007157A6" w:rsidP="007157A6">
            <w:pPr>
              <w:rPr>
                <w:lang w:val="en-GB"/>
              </w:rPr>
            </w:pPr>
          </w:p>
        </w:tc>
        <w:tc>
          <w:tcPr>
            <w:tcW w:w="418" w:type="dxa"/>
          </w:tcPr>
          <w:p w14:paraId="17E57A1F" w14:textId="77777777" w:rsidR="007157A6" w:rsidRPr="007157A6" w:rsidRDefault="007157A6" w:rsidP="007157A6">
            <w:pPr>
              <w:rPr>
                <w:lang w:val="en-GB"/>
              </w:rPr>
            </w:pPr>
          </w:p>
        </w:tc>
        <w:tc>
          <w:tcPr>
            <w:tcW w:w="418" w:type="dxa"/>
          </w:tcPr>
          <w:p w14:paraId="598AB66D" w14:textId="77777777" w:rsidR="007157A6" w:rsidRPr="007157A6" w:rsidRDefault="007157A6" w:rsidP="007157A6">
            <w:pPr>
              <w:rPr>
                <w:lang w:val="en-GB"/>
              </w:rPr>
            </w:pPr>
          </w:p>
        </w:tc>
        <w:tc>
          <w:tcPr>
            <w:tcW w:w="418" w:type="dxa"/>
          </w:tcPr>
          <w:p w14:paraId="39855228" w14:textId="77777777" w:rsidR="007157A6" w:rsidRPr="007157A6" w:rsidRDefault="007157A6" w:rsidP="007157A6">
            <w:pPr>
              <w:rPr>
                <w:lang w:val="en-GB"/>
              </w:rPr>
            </w:pPr>
          </w:p>
        </w:tc>
        <w:tc>
          <w:tcPr>
            <w:tcW w:w="419" w:type="dxa"/>
          </w:tcPr>
          <w:p w14:paraId="4AADAB36" w14:textId="77777777" w:rsidR="007157A6" w:rsidRPr="007157A6" w:rsidRDefault="007157A6" w:rsidP="007157A6">
            <w:pPr>
              <w:rPr>
                <w:lang w:val="en-GB"/>
              </w:rPr>
            </w:pPr>
          </w:p>
        </w:tc>
      </w:tr>
      <w:tr w:rsidR="007157A6" w:rsidRPr="007157A6" w14:paraId="3DC0CAF9" w14:textId="77777777" w:rsidTr="00C850ED">
        <w:trPr>
          <w:trHeight w:val="999"/>
        </w:trPr>
        <w:tc>
          <w:tcPr>
            <w:tcW w:w="8642" w:type="dxa"/>
            <w:vMerge/>
          </w:tcPr>
          <w:p w14:paraId="7D5EFB8F" w14:textId="77777777" w:rsidR="007157A6" w:rsidRPr="007157A6" w:rsidRDefault="007157A6" w:rsidP="007157A6">
            <w:pPr>
              <w:rPr>
                <w:lang w:val="en-GB"/>
              </w:rPr>
            </w:pPr>
          </w:p>
        </w:tc>
        <w:tc>
          <w:tcPr>
            <w:tcW w:w="3544" w:type="dxa"/>
          </w:tcPr>
          <w:p w14:paraId="3FE59762" w14:textId="77777777" w:rsidR="007157A6" w:rsidRPr="007157A6" w:rsidRDefault="007157A6" w:rsidP="007157A6">
            <w:pPr>
              <w:rPr>
                <w:lang w:val="en-GB"/>
              </w:rPr>
            </w:pPr>
            <w:r w:rsidRPr="007157A6">
              <w:rPr>
                <w:lang w:val="en-GB"/>
              </w:rPr>
              <w:t>Practicability</w:t>
            </w:r>
          </w:p>
        </w:tc>
        <w:tc>
          <w:tcPr>
            <w:tcW w:w="418" w:type="dxa"/>
          </w:tcPr>
          <w:p w14:paraId="65ED5CF2" w14:textId="77777777" w:rsidR="007157A6" w:rsidRPr="007157A6" w:rsidRDefault="007157A6" w:rsidP="007157A6">
            <w:pPr>
              <w:rPr>
                <w:lang w:val="en-GB"/>
              </w:rPr>
            </w:pPr>
          </w:p>
        </w:tc>
        <w:tc>
          <w:tcPr>
            <w:tcW w:w="418" w:type="dxa"/>
          </w:tcPr>
          <w:p w14:paraId="5E13A1A7" w14:textId="77777777" w:rsidR="007157A6" w:rsidRPr="007157A6" w:rsidRDefault="007157A6" w:rsidP="007157A6">
            <w:pPr>
              <w:rPr>
                <w:lang w:val="en-GB"/>
              </w:rPr>
            </w:pPr>
          </w:p>
        </w:tc>
        <w:tc>
          <w:tcPr>
            <w:tcW w:w="418" w:type="dxa"/>
          </w:tcPr>
          <w:p w14:paraId="322D7988" w14:textId="77777777" w:rsidR="007157A6" w:rsidRPr="007157A6" w:rsidRDefault="007157A6" w:rsidP="007157A6">
            <w:pPr>
              <w:rPr>
                <w:lang w:val="en-GB"/>
              </w:rPr>
            </w:pPr>
          </w:p>
        </w:tc>
        <w:tc>
          <w:tcPr>
            <w:tcW w:w="418" w:type="dxa"/>
          </w:tcPr>
          <w:p w14:paraId="159C2589" w14:textId="77777777" w:rsidR="007157A6" w:rsidRPr="007157A6" w:rsidRDefault="007157A6" w:rsidP="007157A6">
            <w:pPr>
              <w:rPr>
                <w:lang w:val="en-GB"/>
              </w:rPr>
            </w:pPr>
          </w:p>
        </w:tc>
        <w:tc>
          <w:tcPr>
            <w:tcW w:w="419" w:type="dxa"/>
          </w:tcPr>
          <w:p w14:paraId="2258A50E" w14:textId="77777777" w:rsidR="007157A6" w:rsidRPr="007157A6" w:rsidRDefault="007157A6" w:rsidP="007157A6">
            <w:pPr>
              <w:rPr>
                <w:lang w:val="en-GB"/>
              </w:rPr>
            </w:pPr>
          </w:p>
        </w:tc>
      </w:tr>
      <w:tr w:rsidR="007157A6" w:rsidRPr="007157A6" w14:paraId="4E25515F" w14:textId="77777777" w:rsidTr="00C850ED">
        <w:trPr>
          <w:trHeight w:val="1000"/>
        </w:trPr>
        <w:tc>
          <w:tcPr>
            <w:tcW w:w="8642" w:type="dxa"/>
            <w:vMerge/>
          </w:tcPr>
          <w:p w14:paraId="283797D6" w14:textId="77777777" w:rsidR="007157A6" w:rsidRPr="007157A6" w:rsidRDefault="007157A6" w:rsidP="007157A6">
            <w:pPr>
              <w:rPr>
                <w:lang w:val="en-GB"/>
              </w:rPr>
            </w:pPr>
          </w:p>
        </w:tc>
        <w:tc>
          <w:tcPr>
            <w:tcW w:w="3544" w:type="dxa"/>
          </w:tcPr>
          <w:p w14:paraId="77C8BD5D"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B1583B5" w14:textId="77777777" w:rsidR="007157A6" w:rsidRPr="007157A6" w:rsidRDefault="007157A6" w:rsidP="007157A6">
            <w:pPr>
              <w:rPr>
                <w:lang w:val="en-GB"/>
              </w:rPr>
            </w:pPr>
          </w:p>
        </w:tc>
        <w:tc>
          <w:tcPr>
            <w:tcW w:w="418" w:type="dxa"/>
          </w:tcPr>
          <w:p w14:paraId="336A9863" w14:textId="77777777" w:rsidR="007157A6" w:rsidRPr="007157A6" w:rsidRDefault="007157A6" w:rsidP="007157A6">
            <w:pPr>
              <w:rPr>
                <w:lang w:val="en-GB"/>
              </w:rPr>
            </w:pPr>
          </w:p>
        </w:tc>
        <w:tc>
          <w:tcPr>
            <w:tcW w:w="418" w:type="dxa"/>
          </w:tcPr>
          <w:p w14:paraId="1B64DB85" w14:textId="77777777" w:rsidR="007157A6" w:rsidRPr="007157A6" w:rsidRDefault="007157A6" w:rsidP="007157A6">
            <w:pPr>
              <w:rPr>
                <w:lang w:val="en-GB"/>
              </w:rPr>
            </w:pPr>
          </w:p>
        </w:tc>
        <w:tc>
          <w:tcPr>
            <w:tcW w:w="418" w:type="dxa"/>
          </w:tcPr>
          <w:p w14:paraId="074630B9" w14:textId="77777777" w:rsidR="007157A6" w:rsidRPr="007157A6" w:rsidRDefault="007157A6" w:rsidP="007157A6">
            <w:pPr>
              <w:rPr>
                <w:lang w:val="en-GB"/>
              </w:rPr>
            </w:pPr>
          </w:p>
        </w:tc>
        <w:tc>
          <w:tcPr>
            <w:tcW w:w="419" w:type="dxa"/>
          </w:tcPr>
          <w:p w14:paraId="2AC7CD8D" w14:textId="77777777" w:rsidR="007157A6" w:rsidRPr="007157A6" w:rsidRDefault="007157A6" w:rsidP="007157A6">
            <w:pPr>
              <w:rPr>
                <w:lang w:val="en-GB"/>
              </w:rPr>
            </w:pPr>
          </w:p>
        </w:tc>
      </w:tr>
      <w:tr w:rsidR="007157A6" w:rsidRPr="007157A6" w14:paraId="6712A617" w14:textId="77777777" w:rsidTr="00C850ED">
        <w:tc>
          <w:tcPr>
            <w:tcW w:w="8642" w:type="dxa"/>
            <w:shd w:val="clear" w:color="auto" w:fill="D9D9D9" w:themeFill="background1" w:themeFillShade="D9"/>
          </w:tcPr>
          <w:p w14:paraId="08AF775E"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4E82FA0F"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11BFF209"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BB4FBEB"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39312623"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2D90D64C"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2879E353" w14:textId="77777777" w:rsidR="007157A6" w:rsidRPr="007157A6" w:rsidRDefault="007157A6" w:rsidP="007157A6">
            <w:pPr>
              <w:rPr>
                <w:b/>
                <w:lang w:val="en-GB"/>
              </w:rPr>
            </w:pPr>
            <w:r w:rsidRPr="007157A6">
              <w:rPr>
                <w:b/>
                <w:lang w:val="en-GB"/>
              </w:rPr>
              <w:t>1</w:t>
            </w:r>
          </w:p>
        </w:tc>
      </w:tr>
      <w:tr w:rsidR="007157A6" w:rsidRPr="007157A6" w14:paraId="3B77A4AD" w14:textId="77777777" w:rsidTr="00C850ED">
        <w:tc>
          <w:tcPr>
            <w:tcW w:w="8642" w:type="dxa"/>
            <w:vMerge w:val="restart"/>
          </w:tcPr>
          <w:p w14:paraId="517AB05F" w14:textId="77777777" w:rsidR="007157A6" w:rsidRPr="007157A6" w:rsidRDefault="007157A6" w:rsidP="007157A6">
            <w:pPr>
              <w:rPr>
                <w:rFonts w:ascii="Calibri" w:hAnsi="Calibri"/>
                <w:lang w:val="en-GB"/>
              </w:rPr>
            </w:pPr>
            <w:r w:rsidRPr="007157A6">
              <w:rPr>
                <w:rFonts w:ascii="Calibri" w:hAnsi="Calibri"/>
                <w:lang w:val="en-GB"/>
              </w:rPr>
              <w:t>The following measures are recommended for all areas of the financial industry:</w:t>
            </w:r>
          </w:p>
          <w:p w14:paraId="6ACD1B8E" w14:textId="77777777" w:rsidR="007157A6" w:rsidRPr="007157A6" w:rsidRDefault="007157A6" w:rsidP="007157A6">
            <w:pPr>
              <w:rPr>
                <w:lang w:val="en-GB"/>
              </w:rPr>
            </w:pPr>
            <w:r w:rsidRPr="007157A6">
              <w:rPr>
                <w:lang w:val="en-GB"/>
              </w:rPr>
              <w:t>Climate stress tests are to be conducted at regular intervals and scenario analyses prepared and published.</w:t>
            </w:r>
          </w:p>
        </w:tc>
        <w:tc>
          <w:tcPr>
            <w:tcW w:w="3544" w:type="dxa"/>
          </w:tcPr>
          <w:p w14:paraId="59A6F7C4" w14:textId="77777777" w:rsidR="007157A6" w:rsidRPr="007157A6" w:rsidRDefault="007157A6" w:rsidP="007157A6">
            <w:pPr>
              <w:rPr>
                <w:lang w:val="en-GB"/>
              </w:rPr>
            </w:pPr>
            <w:r w:rsidRPr="007157A6">
              <w:rPr>
                <w:lang w:val="en-GB"/>
              </w:rPr>
              <w:t>Will foster Sustainable Finance in Germany</w:t>
            </w:r>
          </w:p>
        </w:tc>
        <w:tc>
          <w:tcPr>
            <w:tcW w:w="418" w:type="dxa"/>
          </w:tcPr>
          <w:p w14:paraId="757C0AAB" w14:textId="77777777" w:rsidR="007157A6" w:rsidRPr="007157A6" w:rsidRDefault="007157A6" w:rsidP="007157A6">
            <w:pPr>
              <w:rPr>
                <w:lang w:val="en-GB"/>
              </w:rPr>
            </w:pPr>
          </w:p>
        </w:tc>
        <w:tc>
          <w:tcPr>
            <w:tcW w:w="418" w:type="dxa"/>
          </w:tcPr>
          <w:p w14:paraId="32B2349D" w14:textId="77777777" w:rsidR="007157A6" w:rsidRPr="007157A6" w:rsidRDefault="007157A6" w:rsidP="007157A6">
            <w:pPr>
              <w:rPr>
                <w:lang w:val="en-GB"/>
              </w:rPr>
            </w:pPr>
          </w:p>
        </w:tc>
        <w:tc>
          <w:tcPr>
            <w:tcW w:w="418" w:type="dxa"/>
          </w:tcPr>
          <w:p w14:paraId="7999337D" w14:textId="77777777" w:rsidR="007157A6" w:rsidRPr="007157A6" w:rsidRDefault="007157A6" w:rsidP="007157A6">
            <w:pPr>
              <w:rPr>
                <w:lang w:val="en-GB"/>
              </w:rPr>
            </w:pPr>
          </w:p>
        </w:tc>
        <w:tc>
          <w:tcPr>
            <w:tcW w:w="418" w:type="dxa"/>
          </w:tcPr>
          <w:p w14:paraId="0559350E" w14:textId="77777777" w:rsidR="007157A6" w:rsidRPr="007157A6" w:rsidRDefault="007157A6" w:rsidP="007157A6">
            <w:pPr>
              <w:rPr>
                <w:lang w:val="en-GB"/>
              </w:rPr>
            </w:pPr>
          </w:p>
        </w:tc>
        <w:tc>
          <w:tcPr>
            <w:tcW w:w="419" w:type="dxa"/>
          </w:tcPr>
          <w:p w14:paraId="4A550A44" w14:textId="77777777" w:rsidR="007157A6" w:rsidRPr="007157A6" w:rsidRDefault="007157A6" w:rsidP="007157A6">
            <w:pPr>
              <w:rPr>
                <w:lang w:val="en-GB"/>
              </w:rPr>
            </w:pPr>
          </w:p>
        </w:tc>
      </w:tr>
      <w:tr w:rsidR="007157A6" w:rsidRPr="007157A6" w14:paraId="0F62B8F7" w14:textId="77777777" w:rsidTr="00C850ED">
        <w:tc>
          <w:tcPr>
            <w:tcW w:w="8642" w:type="dxa"/>
            <w:vMerge/>
          </w:tcPr>
          <w:p w14:paraId="77F54FBE" w14:textId="77777777" w:rsidR="007157A6" w:rsidRPr="007157A6" w:rsidRDefault="007157A6" w:rsidP="007157A6">
            <w:pPr>
              <w:rPr>
                <w:lang w:val="en-GB"/>
              </w:rPr>
            </w:pPr>
          </w:p>
        </w:tc>
        <w:tc>
          <w:tcPr>
            <w:tcW w:w="3544" w:type="dxa"/>
          </w:tcPr>
          <w:p w14:paraId="1901367E" w14:textId="77777777" w:rsidR="007157A6" w:rsidRPr="007157A6" w:rsidRDefault="007157A6" w:rsidP="007157A6">
            <w:pPr>
              <w:rPr>
                <w:lang w:val="en-GB"/>
              </w:rPr>
            </w:pPr>
            <w:r w:rsidRPr="007157A6">
              <w:rPr>
                <w:lang w:val="en-GB"/>
              </w:rPr>
              <w:t>Level of ambition</w:t>
            </w:r>
          </w:p>
        </w:tc>
        <w:tc>
          <w:tcPr>
            <w:tcW w:w="418" w:type="dxa"/>
          </w:tcPr>
          <w:p w14:paraId="5E944D06" w14:textId="77777777" w:rsidR="007157A6" w:rsidRPr="007157A6" w:rsidRDefault="007157A6" w:rsidP="007157A6">
            <w:pPr>
              <w:rPr>
                <w:lang w:val="en-GB"/>
              </w:rPr>
            </w:pPr>
          </w:p>
        </w:tc>
        <w:tc>
          <w:tcPr>
            <w:tcW w:w="418" w:type="dxa"/>
          </w:tcPr>
          <w:p w14:paraId="7A5BC36E" w14:textId="77777777" w:rsidR="007157A6" w:rsidRPr="007157A6" w:rsidRDefault="007157A6" w:rsidP="007157A6">
            <w:pPr>
              <w:rPr>
                <w:lang w:val="en-GB"/>
              </w:rPr>
            </w:pPr>
          </w:p>
        </w:tc>
        <w:tc>
          <w:tcPr>
            <w:tcW w:w="418" w:type="dxa"/>
          </w:tcPr>
          <w:p w14:paraId="2D655483" w14:textId="77777777" w:rsidR="007157A6" w:rsidRPr="007157A6" w:rsidRDefault="007157A6" w:rsidP="007157A6">
            <w:pPr>
              <w:rPr>
                <w:lang w:val="en-GB"/>
              </w:rPr>
            </w:pPr>
          </w:p>
        </w:tc>
        <w:tc>
          <w:tcPr>
            <w:tcW w:w="418" w:type="dxa"/>
          </w:tcPr>
          <w:p w14:paraId="236801AE" w14:textId="77777777" w:rsidR="007157A6" w:rsidRPr="007157A6" w:rsidRDefault="007157A6" w:rsidP="007157A6">
            <w:pPr>
              <w:rPr>
                <w:lang w:val="en-GB"/>
              </w:rPr>
            </w:pPr>
          </w:p>
        </w:tc>
        <w:tc>
          <w:tcPr>
            <w:tcW w:w="419" w:type="dxa"/>
          </w:tcPr>
          <w:p w14:paraId="68152CC0" w14:textId="77777777" w:rsidR="007157A6" w:rsidRPr="007157A6" w:rsidRDefault="007157A6" w:rsidP="007157A6">
            <w:pPr>
              <w:rPr>
                <w:lang w:val="en-GB"/>
              </w:rPr>
            </w:pPr>
          </w:p>
        </w:tc>
      </w:tr>
      <w:tr w:rsidR="007157A6" w:rsidRPr="007157A6" w14:paraId="7D17C715" w14:textId="77777777" w:rsidTr="00C850ED">
        <w:tc>
          <w:tcPr>
            <w:tcW w:w="8642" w:type="dxa"/>
            <w:vMerge/>
          </w:tcPr>
          <w:p w14:paraId="595E8ED5" w14:textId="77777777" w:rsidR="007157A6" w:rsidRPr="007157A6" w:rsidRDefault="007157A6" w:rsidP="007157A6">
            <w:pPr>
              <w:rPr>
                <w:lang w:val="en-GB"/>
              </w:rPr>
            </w:pPr>
          </w:p>
        </w:tc>
        <w:tc>
          <w:tcPr>
            <w:tcW w:w="3544" w:type="dxa"/>
          </w:tcPr>
          <w:p w14:paraId="1B9A5693" w14:textId="77777777" w:rsidR="007157A6" w:rsidRPr="007157A6" w:rsidRDefault="007157A6" w:rsidP="007157A6">
            <w:pPr>
              <w:rPr>
                <w:lang w:val="en-GB"/>
              </w:rPr>
            </w:pPr>
            <w:r w:rsidRPr="007157A6">
              <w:rPr>
                <w:lang w:val="en-GB"/>
              </w:rPr>
              <w:t>Practicability</w:t>
            </w:r>
          </w:p>
        </w:tc>
        <w:tc>
          <w:tcPr>
            <w:tcW w:w="418" w:type="dxa"/>
          </w:tcPr>
          <w:p w14:paraId="0AF80D0A" w14:textId="77777777" w:rsidR="007157A6" w:rsidRPr="007157A6" w:rsidRDefault="007157A6" w:rsidP="007157A6">
            <w:pPr>
              <w:rPr>
                <w:lang w:val="en-GB"/>
              </w:rPr>
            </w:pPr>
          </w:p>
        </w:tc>
        <w:tc>
          <w:tcPr>
            <w:tcW w:w="418" w:type="dxa"/>
          </w:tcPr>
          <w:p w14:paraId="6918DE9F" w14:textId="77777777" w:rsidR="007157A6" w:rsidRPr="007157A6" w:rsidRDefault="007157A6" w:rsidP="007157A6">
            <w:pPr>
              <w:rPr>
                <w:lang w:val="en-GB"/>
              </w:rPr>
            </w:pPr>
          </w:p>
        </w:tc>
        <w:tc>
          <w:tcPr>
            <w:tcW w:w="418" w:type="dxa"/>
          </w:tcPr>
          <w:p w14:paraId="7A21571F" w14:textId="77777777" w:rsidR="007157A6" w:rsidRPr="007157A6" w:rsidRDefault="007157A6" w:rsidP="007157A6">
            <w:pPr>
              <w:rPr>
                <w:lang w:val="en-GB"/>
              </w:rPr>
            </w:pPr>
          </w:p>
        </w:tc>
        <w:tc>
          <w:tcPr>
            <w:tcW w:w="418" w:type="dxa"/>
          </w:tcPr>
          <w:p w14:paraId="6C182689" w14:textId="77777777" w:rsidR="007157A6" w:rsidRPr="007157A6" w:rsidRDefault="007157A6" w:rsidP="007157A6">
            <w:pPr>
              <w:rPr>
                <w:lang w:val="en-GB"/>
              </w:rPr>
            </w:pPr>
          </w:p>
        </w:tc>
        <w:tc>
          <w:tcPr>
            <w:tcW w:w="419" w:type="dxa"/>
          </w:tcPr>
          <w:p w14:paraId="758B53B9" w14:textId="77777777" w:rsidR="007157A6" w:rsidRPr="007157A6" w:rsidRDefault="007157A6" w:rsidP="007157A6">
            <w:pPr>
              <w:rPr>
                <w:lang w:val="en-GB"/>
              </w:rPr>
            </w:pPr>
          </w:p>
        </w:tc>
      </w:tr>
      <w:tr w:rsidR="007157A6" w:rsidRPr="007157A6" w14:paraId="166583E0" w14:textId="77777777" w:rsidTr="00C850ED">
        <w:tc>
          <w:tcPr>
            <w:tcW w:w="8642" w:type="dxa"/>
            <w:vMerge/>
          </w:tcPr>
          <w:p w14:paraId="143D599B" w14:textId="77777777" w:rsidR="007157A6" w:rsidRPr="007157A6" w:rsidRDefault="007157A6" w:rsidP="007157A6">
            <w:pPr>
              <w:rPr>
                <w:lang w:val="en-GB"/>
              </w:rPr>
            </w:pPr>
          </w:p>
        </w:tc>
        <w:tc>
          <w:tcPr>
            <w:tcW w:w="3544" w:type="dxa"/>
          </w:tcPr>
          <w:p w14:paraId="10A35538"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5090AE0" w14:textId="77777777" w:rsidR="007157A6" w:rsidRPr="007157A6" w:rsidRDefault="007157A6" w:rsidP="007157A6">
            <w:pPr>
              <w:rPr>
                <w:lang w:val="en-GB"/>
              </w:rPr>
            </w:pPr>
          </w:p>
        </w:tc>
        <w:tc>
          <w:tcPr>
            <w:tcW w:w="418" w:type="dxa"/>
          </w:tcPr>
          <w:p w14:paraId="26F322CC" w14:textId="77777777" w:rsidR="007157A6" w:rsidRPr="007157A6" w:rsidRDefault="007157A6" w:rsidP="007157A6">
            <w:pPr>
              <w:rPr>
                <w:lang w:val="en-GB"/>
              </w:rPr>
            </w:pPr>
          </w:p>
        </w:tc>
        <w:tc>
          <w:tcPr>
            <w:tcW w:w="418" w:type="dxa"/>
          </w:tcPr>
          <w:p w14:paraId="588AA368" w14:textId="77777777" w:rsidR="007157A6" w:rsidRPr="007157A6" w:rsidRDefault="007157A6" w:rsidP="007157A6">
            <w:pPr>
              <w:rPr>
                <w:lang w:val="en-GB"/>
              </w:rPr>
            </w:pPr>
          </w:p>
        </w:tc>
        <w:tc>
          <w:tcPr>
            <w:tcW w:w="418" w:type="dxa"/>
          </w:tcPr>
          <w:p w14:paraId="59ABA891" w14:textId="77777777" w:rsidR="007157A6" w:rsidRPr="007157A6" w:rsidRDefault="007157A6" w:rsidP="007157A6">
            <w:pPr>
              <w:rPr>
                <w:lang w:val="en-GB"/>
              </w:rPr>
            </w:pPr>
          </w:p>
        </w:tc>
        <w:tc>
          <w:tcPr>
            <w:tcW w:w="419" w:type="dxa"/>
          </w:tcPr>
          <w:p w14:paraId="296EB013" w14:textId="77777777" w:rsidR="007157A6" w:rsidRPr="007157A6" w:rsidRDefault="007157A6" w:rsidP="007157A6">
            <w:pPr>
              <w:rPr>
                <w:lang w:val="en-GB"/>
              </w:rPr>
            </w:pPr>
          </w:p>
        </w:tc>
      </w:tr>
      <w:tr w:rsidR="007157A6" w:rsidRPr="007157A6" w14:paraId="25D29937" w14:textId="77777777" w:rsidTr="00C850ED">
        <w:tc>
          <w:tcPr>
            <w:tcW w:w="8642" w:type="dxa"/>
            <w:shd w:val="clear" w:color="auto" w:fill="D9D9D9" w:themeFill="background1" w:themeFillShade="D9"/>
          </w:tcPr>
          <w:p w14:paraId="4F80D9FA"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1D372F1A"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916C5C5"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9AE01CA"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13877974"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4F4B0D2A"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0D44DCAD" w14:textId="77777777" w:rsidR="007157A6" w:rsidRPr="007157A6" w:rsidRDefault="007157A6" w:rsidP="007157A6">
            <w:pPr>
              <w:rPr>
                <w:lang w:val="en-GB"/>
              </w:rPr>
            </w:pPr>
            <w:r w:rsidRPr="007157A6">
              <w:rPr>
                <w:b/>
                <w:lang w:val="en-GB"/>
              </w:rPr>
              <w:t>1</w:t>
            </w:r>
          </w:p>
        </w:tc>
      </w:tr>
      <w:tr w:rsidR="007157A6" w:rsidRPr="007157A6" w14:paraId="122071DA" w14:textId="77777777" w:rsidTr="00C850ED">
        <w:tc>
          <w:tcPr>
            <w:tcW w:w="8642" w:type="dxa"/>
            <w:vMerge w:val="restart"/>
          </w:tcPr>
          <w:p w14:paraId="1B4C8795" w14:textId="77777777" w:rsidR="007157A6" w:rsidRPr="007157A6" w:rsidRDefault="007157A6" w:rsidP="007157A6">
            <w:pPr>
              <w:rPr>
                <w:lang w:val="en-GB"/>
              </w:rPr>
            </w:pPr>
            <w:r w:rsidRPr="007157A6">
              <w:rPr>
                <w:lang w:val="en-GB"/>
              </w:rPr>
              <w:t>As regards lending, reports should be prepared pursuant to the Sustainability Directive for credit applications, including publication of the number of credit applications rejected on account of sustainability risks, along with information as to which ones of the bank’s guidelines led to the rejection.</w:t>
            </w:r>
          </w:p>
        </w:tc>
        <w:tc>
          <w:tcPr>
            <w:tcW w:w="3544" w:type="dxa"/>
          </w:tcPr>
          <w:p w14:paraId="61FA263C" w14:textId="77777777" w:rsidR="007157A6" w:rsidRPr="007157A6" w:rsidRDefault="007157A6" w:rsidP="007157A6">
            <w:pPr>
              <w:rPr>
                <w:lang w:val="en-GB"/>
              </w:rPr>
            </w:pPr>
            <w:r w:rsidRPr="007157A6">
              <w:rPr>
                <w:lang w:val="en-GB"/>
              </w:rPr>
              <w:t>Will foster Sustainable Finance in Germany</w:t>
            </w:r>
          </w:p>
        </w:tc>
        <w:tc>
          <w:tcPr>
            <w:tcW w:w="418" w:type="dxa"/>
          </w:tcPr>
          <w:p w14:paraId="5499B419" w14:textId="77777777" w:rsidR="007157A6" w:rsidRPr="007157A6" w:rsidRDefault="007157A6" w:rsidP="007157A6">
            <w:pPr>
              <w:rPr>
                <w:lang w:val="en-GB"/>
              </w:rPr>
            </w:pPr>
          </w:p>
        </w:tc>
        <w:tc>
          <w:tcPr>
            <w:tcW w:w="418" w:type="dxa"/>
          </w:tcPr>
          <w:p w14:paraId="279EF6EE" w14:textId="77777777" w:rsidR="007157A6" w:rsidRPr="007157A6" w:rsidRDefault="007157A6" w:rsidP="007157A6">
            <w:pPr>
              <w:rPr>
                <w:lang w:val="en-GB"/>
              </w:rPr>
            </w:pPr>
          </w:p>
        </w:tc>
        <w:tc>
          <w:tcPr>
            <w:tcW w:w="418" w:type="dxa"/>
          </w:tcPr>
          <w:p w14:paraId="1873C5C1" w14:textId="77777777" w:rsidR="007157A6" w:rsidRPr="007157A6" w:rsidRDefault="007157A6" w:rsidP="007157A6">
            <w:pPr>
              <w:rPr>
                <w:lang w:val="en-GB"/>
              </w:rPr>
            </w:pPr>
          </w:p>
        </w:tc>
        <w:tc>
          <w:tcPr>
            <w:tcW w:w="418" w:type="dxa"/>
          </w:tcPr>
          <w:p w14:paraId="2C7646EB" w14:textId="77777777" w:rsidR="007157A6" w:rsidRPr="007157A6" w:rsidRDefault="007157A6" w:rsidP="007157A6">
            <w:pPr>
              <w:rPr>
                <w:lang w:val="en-GB"/>
              </w:rPr>
            </w:pPr>
          </w:p>
        </w:tc>
        <w:tc>
          <w:tcPr>
            <w:tcW w:w="419" w:type="dxa"/>
          </w:tcPr>
          <w:p w14:paraId="508B7BFD" w14:textId="77777777" w:rsidR="007157A6" w:rsidRPr="007157A6" w:rsidRDefault="007157A6" w:rsidP="007157A6">
            <w:pPr>
              <w:rPr>
                <w:lang w:val="en-GB"/>
              </w:rPr>
            </w:pPr>
          </w:p>
        </w:tc>
      </w:tr>
      <w:tr w:rsidR="007157A6" w:rsidRPr="007157A6" w14:paraId="2F25104A" w14:textId="77777777" w:rsidTr="00C850ED">
        <w:tc>
          <w:tcPr>
            <w:tcW w:w="8642" w:type="dxa"/>
            <w:vMerge/>
          </w:tcPr>
          <w:p w14:paraId="01BC82FA" w14:textId="77777777" w:rsidR="007157A6" w:rsidRPr="007157A6" w:rsidRDefault="007157A6" w:rsidP="007157A6">
            <w:pPr>
              <w:rPr>
                <w:lang w:val="en-GB"/>
              </w:rPr>
            </w:pPr>
          </w:p>
        </w:tc>
        <w:tc>
          <w:tcPr>
            <w:tcW w:w="3544" w:type="dxa"/>
          </w:tcPr>
          <w:p w14:paraId="37F96EF0" w14:textId="77777777" w:rsidR="007157A6" w:rsidRPr="007157A6" w:rsidRDefault="007157A6" w:rsidP="007157A6">
            <w:pPr>
              <w:rPr>
                <w:lang w:val="en-GB"/>
              </w:rPr>
            </w:pPr>
            <w:r w:rsidRPr="007157A6">
              <w:rPr>
                <w:lang w:val="en-GB"/>
              </w:rPr>
              <w:t>Level of ambition</w:t>
            </w:r>
          </w:p>
        </w:tc>
        <w:tc>
          <w:tcPr>
            <w:tcW w:w="418" w:type="dxa"/>
          </w:tcPr>
          <w:p w14:paraId="7721B6EB" w14:textId="77777777" w:rsidR="007157A6" w:rsidRPr="007157A6" w:rsidRDefault="007157A6" w:rsidP="007157A6">
            <w:pPr>
              <w:rPr>
                <w:lang w:val="en-GB"/>
              </w:rPr>
            </w:pPr>
          </w:p>
        </w:tc>
        <w:tc>
          <w:tcPr>
            <w:tcW w:w="418" w:type="dxa"/>
          </w:tcPr>
          <w:p w14:paraId="63733C05" w14:textId="77777777" w:rsidR="007157A6" w:rsidRPr="007157A6" w:rsidRDefault="007157A6" w:rsidP="007157A6">
            <w:pPr>
              <w:rPr>
                <w:lang w:val="en-GB"/>
              </w:rPr>
            </w:pPr>
          </w:p>
        </w:tc>
        <w:tc>
          <w:tcPr>
            <w:tcW w:w="418" w:type="dxa"/>
          </w:tcPr>
          <w:p w14:paraId="56D28653" w14:textId="77777777" w:rsidR="007157A6" w:rsidRPr="007157A6" w:rsidRDefault="007157A6" w:rsidP="007157A6">
            <w:pPr>
              <w:rPr>
                <w:lang w:val="en-GB"/>
              </w:rPr>
            </w:pPr>
          </w:p>
        </w:tc>
        <w:tc>
          <w:tcPr>
            <w:tcW w:w="418" w:type="dxa"/>
          </w:tcPr>
          <w:p w14:paraId="6577F751" w14:textId="77777777" w:rsidR="007157A6" w:rsidRPr="007157A6" w:rsidRDefault="007157A6" w:rsidP="007157A6">
            <w:pPr>
              <w:rPr>
                <w:lang w:val="en-GB"/>
              </w:rPr>
            </w:pPr>
          </w:p>
        </w:tc>
        <w:tc>
          <w:tcPr>
            <w:tcW w:w="419" w:type="dxa"/>
          </w:tcPr>
          <w:p w14:paraId="4657BE1C" w14:textId="77777777" w:rsidR="007157A6" w:rsidRPr="007157A6" w:rsidRDefault="007157A6" w:rsidP="007157A6">
            <w:pPr>
              <w:rPr>
                <w:lang w:val="en-GB"/>
              </w:rPr>
            </w:pPr>
          </w:p>
        </w:tc>
      </w:tr>
      <w:tr w:rsidR="007157A6" w:rsidRPr="007157A6" w14:paraId="398664DA" w14:textId="77777777" w:rsidTr="00C850ED">
        <w:tc>
          <w:tcPr>
            <w:tcW w:w="8642" w:type="dxa"/>
            <w:vMerge/>
          </w:tcPr>
          <w:p w14:paraId="3BEEB1BD" w14:textId="77777777" w:rsidR="007157A6" w:rsidRPr="007157A6" w:rsidRDefault="007157A6" w:rsidP="007157A6">
            <w:pPr>
              <w:rPr>
                <w:lang w:val="en-GB"/>
              </w:rPr>
            </w:pPr>
          </w:p>
        </w:tc>
        <w:tc>
          <w:tcPr>
            <w:tcW w:w="3544" w:type="dxa"/>
          </w:tcPr>
          <w:p w14:paraId="4F2564BE" w14:textId="77777777" w:rsidR="007157A6" w:rsidRPr="007157A6" w:rsidRDefault="007157A6" w:rsidP="007157A6">
            <w:pPr>
              <w:rPr>
                <w:lang w:val="en-GB"/>
              </w:rPr>
            </w:pPr>
            <w:r w:rsidRPr="007157A6">
              <w:rPr>
                <w:lang w:val="en-GB"/>
              </w:rPr>
              <w:t>Practicability</w:t>
            </w:r>
          </w:p>
        </w:tc>
        <w:tc>
          <w:tcPr>
            <w:tcW w:w="418" w:type="dxa"/>
          </w:tcPr>
          <w:p w14:paraId="6896B8FE" w14:textId="77777777" w:rsidR="007157A6" w:rsidRPr="007157A6" w:rsidRDefault="007157A6" w:rsidP="007157A6">
            <w:pPr>
              <w:rPr>
                <w:lang w:val="en-GB"/>
              </w:rPr>
            </w:pPr>
          </w:p>
        </w:tc>
        <w:tc>
          <w:tcPr>
            <w:tcW w:w="418" w:type="dxa"/>
          </w:tcPr>
          <w:p w14:paraId="7943DEA8" w14:textId="77777777" w:rsidR="007157A6" w:rsidRPr="007157A6" w:rsidRDefault="007157A6" w:rsidP="007157A6">
            <w:pPr>
              <w:rPr>
                <w:lang w:val="en-GB"/>
              </w:rPr>
            </w:pPr>
          </w:p>
        </w:tc>
        <w:tc>
          <w:tcPr>
            <w:tcW w:w="418" w:type="dxa"/>
          </w:tcPr>
          <w:p w14:paraId="3BC1D2EF" w14:textId="77777777" w:rsidR="007157A6" w:rsidRPr="007157A6" w:rsidRDefault="007157A6" w:rsidP="007157A6">
            <w:pPr>
              <w:rPr>
                <w:lang w:val="en-GB"/>
              </w:rPr>
            </w:pPr>
          </w:p>
        </w:tc>
        <w:tc>
          <w:tcPr>
            <w:tcW w:w="418" w:type="dxa"/>
          </w:tcPr>
          <w:p w14:paraId="15C5F710" w14:textId="77777777" w:rsidR="007157A6" w:rsidRPr="007157A6" w:rsidRDefault="007157A6" w:rsidP="007157A6">
            <w:pPr>
              <w:rPr>
                <w:lang w:val="en-GB"/>
              </w:rPr>
            </w:pPr>
          </w:p>
        </w:tc>
        <w:tc>
          <w:tcPr>
            <w:tcW w:w="419" w:type="dxa"/>
          </w:tcPr>
          <w:p w14:paraId="66A3EB4A" w14:textId="77777777" w:rsidR="007157A6" w:rsidRPr="007157A6" w:rsidRDefault="007157A6" w:rsidP="007157A6">
            <w:pPr>
              <w:rPr>
                <w:lang w:val="en-GB"/>
              </w:rPr>
            </w:pPr>
          </w:p>
        </w:tc>
      </w:tr>
      <w:tr w:rsidR="007157A6" w:rsidRPr="007157A6" w14:paraId="2BD365AB" w14:textId="77777777" w:rsidTr="00C850ED">
        <w:tc>
          <w:tcPr>
            <w:tcW w:w="8642" w:type="dxa"/>
            <w:vMerge/>
          </w:tcPr>
          <w:p w14:paraId="73D7D968" w14:textId="77777777" w:rsidR="007157A6" w:rsidRPr="007157A6" w:rsidRDefault="007157A6" w:rsidP="007157A6">
            <w:pPr>
              <w:rPr>
                <w:lang w:val="en-GB"/>
              </w:rPr>
            </w:pPr>
          </w:p>
        </w:tc>
        <w:tc>
          <w:tcPr>
            <w:tcW w:w="3544" w:type="dxa"/>
          </w:tcPr>
          <w:p w14:paraId="3ABC5F4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7A0AB77" w14:textId="77777777" w:rsidR="007157A6" w:rsidRPr="007157A6" w:rsidRDefault="007157A6" w:rsidP="007157A6">
            <w:pPr>
              <w:rPr>
                <w:lang w:val="en-GB"/>
              </w:rPr>
            </w:pPr>
          </w:p>
        </w:tc>
        <w:tc>
          <w:tcPr>
            <w:tcW w:w="418" w:type="dxa"/>
          </w:tcPr>
          <w:p w14:paraId="19DEF1AA" w14:textId="77777777" w:rsidR="007157A6" w:rsidRPr="007157A6" w:rsidRDefault="007157A6" w:rsidP="007157A6">
            <w:pPr>
              <w:rPr>
                <w:lang w:val="en-GB"/>
              </w:rPr>
            </w:pPr>
          </w:p>
        </w:tc>
        <w:tc>
          <w:tcPr>
            <w:tcW w:w="418" w:type="dxa"/>
          </w:tcPr>
          <w:p w14:paraId="18E9BCC9" w14:textId="77777777" w:rsidR="007157A6" w:rsidRPr="007157A6" w:rsidRDefault="007157A6" w:rsidP="007157A6">
            <w:pPr>
              <w:rPr>
                <w:lang w:val="en-GB"/>
              </w:rPr>
            </w:pPr>
          </w:p>
        </w:tc>
        <w:tc>
          <w:tcPr>
            <w:tcW w:w="418" w:type="dxa"/>
          </w:tcPr>
          <w:p w14:paraId="59FC1D12" w14:textId="77777777" w:rsidR="007157A6" w:rsidRPr="007157A6" w:rsidRDefault="007157A6" w:rsidP="007157A6">
            <w:pPr>
              <w:rPr>
                <w:lang w:val="en-GB"/>
              </w:rPr>
            </w:pPr>
          </w:p>
        </w:tc>
        <w:tc>
          <w:tcPr>
            <w:tcW w:w="419" w:type="dxa"/>
          </w:tcPr>
          <w:p w14:paraId="37F42244" w14:textId="77777777" w:rsidR="007157A6" w:rsidRPr="007157A6" w:rsidRDefault="007157A6" w:rsidP="007157A6">
            <w:pPr>
              <w:rPr>
                <w:lang w:val="en-GB"/>
              </w:rPr>
            </w:pPr>
          </w:p>
        </w:tc>
      </w:tr>
      <w:tr w:rsidR="007157A6" w:rsidRPr="007157A6" w14:paraId="0D7EFE1D" w14:textId="77777777" w:rsidTr="00C850ED">
        <w:tc>
          <w:tcPr>
            <w:tcW w:w="8642" w:type="dxa"/>
            <w:shd w:val="clear" w:color="auto" w:fill="D9D9D9" w:themeFill="background1" w:themeFillShade="D9"/>
          </w:tcPr>
          <w:p w14:paraId="67F0183A"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00DE5160"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6BE47D5B"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37A9EFB7"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0D5E14D4"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D51B838"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731526D0" w14:textId="77777777" w:rsidR="007157A6" w:rsidRPr="007157A6" w:rsidRDefault="007157A6" w:rsidP="007157A6">
            <w:pPr>
              <w:rPr>
                <w:lang w:val="en-GB"/>
              </w:rPr>
            </w:pPr>
            <w:r w:rsidRPr="007157A6">
              <w:rPr>
                <w:b/>
                <w:lang w:val="en-GB"/>
              </w:rPr>
              <w:t>1</w:t>
            </w:r>
          </w:p>
        </w:tc>
      </w:tr>
      <w:tr w:rsidR="007157A6" w:rsidRPr="007157A6" w14:paraId="6EE2F5E2" w14:textId="77777777" w:rsidTr="00C850ED">
        <w:tc>
          <w:tcPr>
            <w:tcW w:w="8642" w:type="dxa"/>
            <w:vMerge w:val="restart"/>
          </w:tcPr>
          <w:p w14:paraId="5BE75E73" w14:textId="77777777" w:rsidR="007157A6" w:rsidRPr="00717905" w:rsidRDefault="007157A6" w:rsidP="00717905">
            <w:pPr>
              <w:pBdr>
                <w:top w:val="nil"/>
                <w:left w:val="nil"/>
                <w:bottom w:val="nil"/>
                <w:right w:val="nil"/>
                <w:between w:val="nil"/>
                <w:bar w:val="nil"/>
              </w:pBdr>
              <w:rPr>
                <w:rFonts w:ascii="Calibri" w:eastAsia="Calibri" w:hAnsi="Calibri" w:cs="Calibri"/>
                <w:lang w:val="en-GB"/>
              </w:rPr>
            </w:pPr>
            <w:r w:rsidRPr="007157A6">
              <w:rPr>
                <w:rFonts w:ascii="Calibri" w:hAnsi="Calibri"/>
                <w:lang w:val="en-GB"/>
              </w:rPr>
              <w:t>The following in particular must be considered in connection with investments in stock and in equity funds: Institutional investors and financial intermediaries are called upon to exercise their voting rights at general meetings in ways promoting sustainability goals and to report on voting outcomes (in keeping with GRI 4- DMA).</w:t>
            </w:r>
          </w:p>
        </w:tc>
        <w:tc>
          <w:tcPr>
            <w:tcW w:w="3544" w:type="dxa"/>
          </w:tcPr>
          <w:p w14:paraId="561F394B" w14:textId="77777777" w:rsidR="007157A6" w:rsidRPr="007157A6" w:rsidRDefault="007157A6" w:rsidP="007157A6">
            <w:pPr>
              <w:rPr>
                <w:lang w:val="en-GB"/>
              </w:rPr>
            </w:pPr>
            <w:r w:rsidRPr="007157A6">
              <w:rPr>
                <w:lang w:val="en-GB"/>
              </w:rPr>
              <w:t>Will foster Sustainable Finance in Germany</w:t>
            </w:r>
          </w:p>
        </w:tc>
        <w:tc>
          <w:tcPr>
            <w:tcW w:w="418" w:type="dxa"/>
          </w:tcPr>
          <w:p w14:paraId="06E5D215" w14:textId="77777777" w:rsidR="007157A6" w:rsidRPr="007157A6" w:rsidRDefault="007157A6" w:rsidP="007157A6">
            <w:pPr>
              <w:rPr>
                <w:lang w:val="en-GB"/>
              </w:rPr>
            </w:pPr>
          </w:p>
        </w:tc>
        <w:tc>
          <w:tcPr>
            <w:tcW w:w="418" w:type="dxa"/>
          </w:tcPr>
          <w:p w14:paraId="39B92F52" w14:textId="77777777" w:rsidR="007157A6" w:rsidRPr="007157A6" w:rsidRDefault="007157A6" w:rsidP="007157A6">
            <w:pPr>
              <w:rPr>
                <w:lang w:val="en-GB"/>
              </w:rPr>
            </w:pPr>
          </w:p>
        </w:tc>
        <w:tc>
          <w:tcPr>
            <w:tcW w:w="418" w:type="dxa"/>
          </w:tcPr>
          <w:p w14:paraId="10591F67" w14:textId="77777777" w:rsidR="007157A6" w:rsidRPr="007157A6" w:rsidRDefault="007157A6" w:rsidP="007157A6">
            <w:pPr>
              <w:rPr>
                <w:lang w:val="en-GB"/>
              </w:rPr>
            </w:pPr>
          </w:p>
        </w:tc>
        <w:tc>
          <w:tcPr>
            <w:tcW w:w="418" w:type="dxa"/>
          </w:tcPr>
          <w:p w14:paraId="46167840" w14:textId="77777777" w:rsidR="007157A6" w:rsidRPr="007157A6" w:rsidRDefault="007157A6" w:rsidP="007157A6">
            <w:pPr>
              <w:rPr>
                <w:lang w:val="en-GB"/>
              </w:rPr>
            </w:pPr>
          </w:p>
        </w:tc>
        <w:tc>
          <w:tcPr>
            <w:tcW w:w="419" w:type="dxa"/>
          </w:tcPr>
          <w:p w14:paraId="6710142D" w14:textId="77777777" w:rsidR="007157A6" w:rsidRPr="007157A6" w:rsidRDefault="007157A6" w:rsidP="007157A6">
            <w:pPr>
              <w:rPr>
                <w:lang w:val="en-GB"/>
              </w:rPr>
            </w:pPr>
          </w:p>
        </w:tc>
      </w:tr>
      <w:tr w:rsidR="007157A6" w:rsidRPr="007157A6" w14:paraId="10BF434C" w14:textId="77777777" w:rsidTr="00C850ED">
        <w:tc>
          <w:tcPr>
            <w:tcW w:w="8642" w:type="dxa"/>
            <w:vMerge/>
          </w:tcPr>
          <w:p w14:paraId="13FFE2C1" w14:textId="77777777" w:rsidR="007157A6" w:rsidRPr="007157A6" w:rsidRDefault="007157A6" w:rsidP="007157A6">
            <w:pPr>
              <w:rPr>
                <w:lang w:val="en-GB"/>
              </w:rPr>
            </w:pPr>
          </w:p>
        </w:tc>
        <w:tc>
          <w:tcPr>
            <w:tcW w:w="3544" w:type="dxa"/>
          </w:tcPr>
          <w:p w14:paraId="5AAABF22" w14:textId="77777777" w:rsidR="007157A6" w:rsidRPr="007157A6" w:rsidRDefault="007157A6" w:rsidP="007157A6">
            <w:pPr>
              <w:rPr>
                <w:lang w:val="en-GB"/>
              </w:rPr>
            </w:pPr>
            <w:r w:rsidRPr="007157A6">
              <w:rPr>
                <w:lang w:val="en-GB"/>
              </w:rPr>
              <w:t>Level of ambition</w:t>
            </w:r>
          </w:p>
        </w:tc>
        <w:tc>
          <w:tcPr>
            <w:tcW w:w="418" w:type="dxa"/>
          </w:tcPr>
          <w:p w14:paraId="63735DF5" w14:textId="77777777" w:rsidR="007157A6" w:rsidRPr="007157A6" w:rsidRDefault="007157A6" w:rsidP="007157A6">
            <w:pPr>
              <w:rPr>
                <w:lang w:val="en-GB"/>
              </w:rPr>
            </w:pPr>
          </w:p>
        </w:tc>
        <w:tc>
          <w:tcPr>
            <w:tcW w:w="418" w:type="dxa"/>
          </w:tcPr>
          <w:p w14:paraId="5BE85B57" w14:textId="77777777" w:rsidR="007157A6" w:rsidRPr="007157A6" w:rsidRDefault="007157A6" w:rsidP="007157A6">
            <w:pPr>
              <w:rPr>
                <w:lang w:val="en-GB"/>
              </w:rPr>
            </w:pPr>
          </w:p>
        </w:tc>
        <w:tc>
          <w:tcPr>
            <w:tcW w:w="418" w:type="dxa"/>
          </w:tcPr>
          <w:p w14:paraId="7C05028D" w14:textId="77777777" w:rsidR="007157A6" w:rsidRPr="007157A6" w:rsidRDefault="007157A6" w:rsidP="007157A6">
            <w:pPr>
              <w:rPr>
                <w:lang w:val="en-GB"/>
              </w:rPr>
            </w:pPr>
          </w:p>
        </w:tc>
        <w:tc>
          <w:tcPr>
            <w:tcW w:w="418" w:type="dxa"/>
          </w:tcPr>
          <w:p w14:paraId="673FD547" w14:textId="77777777" w:rsidR="007157A6" w:rsidRPr="007157A6" w:rsidRDefault="007157A6" w:rsidP="007157A6">
            <w:pPr>
              <w:rPr>
                <w:lang w:val="en-GB"/>
              </w:rPr>
            </w:pPr>
          </w:p>
        </w:tc>
        <w:tc>
          <w:tcPr>
            <w:tcW w:w="419" w:type="dxa"/>
          </w:tcPr>
          <w:p w14:paraId="16E600F4" w14:textId="77777777" w:rsidR="007157A6" w:rsidRPr="007157A6" w:rsidRDefault="007157A6" w:rsidP="007157A6">
            <w:pPr>
              <w:rPr>
                <w:lang w:val="en-GB"/>
              </w:rPr>
            </w:pPr>
          </w:p>
        </w:tc>
      </w:tr>
      <w:tr w:rsidR="007157A6" w:rsidRPr="007157A6" w14:paraId="1C3E0B85" w14:textId="77777777" w:rsidTr="00C850ED">
        <w:tc>
          <w:tcPr>
            <w:tcW w:w="8642" w:type="dxa"/>
            <w:vMerge/>
          </w:tcPr>
          <w:p w14:paraId="148565FF" w14:textId="77777777" w:rsidR="007157A6" w:rsidRPr="007157A6" w:rsidRDefault="007157A6" w:rsidP="007157A6">
            <w:pPr>
              <w:rPr>
                <w:lang w:val="en-GB"/>
              </w:rPr>
            </w:pPr>
          </w:p>
        </w:tc>
        <w:tc>
          <w:tcPr>
            <w:tcW w:w="3544" w:type="dxa"/>
          </w:tcPr>
          <w:p w14:paraId="5CA6A1A1" w14:textId="77777777" w:rsidR="007157A6" w:rsidRPr="007157A6" w:rsidRDefault="007157A6" w:rsidP="007157A6">
            <w:pPr>
              <w:rPr>
                <w:lang w:val="en-GB"/>
              </w:rPr>
            </w:pPr>
            <w:r w:rsidRPr="007157A6">
              <w:rPr>
                <w:lang w:val="en-GB"/>
              </w:rPr>
              <w:t>Practicability</w:t>
            </w:r>
          </w:p>
        </w:tc>
        <w:tc>
          <w:tcPr>
            <w:tcW w:w="418" w:type="dxa"/>
          </w:tcPr>
          <w:p w14:paraId="7F938DF4" w14:textId="77777777" w:rsidR="007157A6" w:rsidRPr="007157A6" w:rsidRDefault="007157A6" w:rsidP="007157A6">
            <w:pPr>
              <w:rPr>
                <w:lang w:val="en-GB"/>
              </w:rPr>
            </w:pPr>
          </w:p>
        </w:tc>
        <w:tc>
          <w:tcPr>
            <w:tcW w:w="418" w:type="dxa"/>
          </w:tcPr>
          <w:p w14:paraId="5AB9BC21" w14:textId="77777777" w:rsidR="007157A6" w:rsidRPr="007157A6" w:rsidRDefault="007157A6" w:rsidP="007157A6">
            <w:pPr>
              <w:rPr>
                <w:lang w:val="en-GB"/>
              </w:rPr>
            </w:pPr>
          </w:p>
        </w:tc>
        <w:tc>
          <w:tcPr>
            <w:tcW w:w="418" w:type="dxa"/>
          </w:tcPr>
          <w:p w14:paraId="22732CCF" w14:textId="77777777" w:rsidR="007157A6" w:rsidRPr="007157A6" w:rsidRDefault="007157A6" w:rsidP="007157A6">
            <w:pPr>
              <w:rPr>
                <w:lang w:val="en-GB"/>
              </w:rPr>
            </w:pPr>
          </w:p>
        </w:tc>
        <w:tc>
          <w:tcPr>
            <w:tcW w:w="418" w:type="dxa"/>
          </w:tcPr>
          <w:p w14:paraId="378ACD7A" w14:textId="77777777" w:rsidR="007157A6" w:rsidRPr="007157A6" w:rsidRDefault="007157A6" w:rsidP="007157A6">
            <w:pPr>
              <w:rPr>
                <w:lang w:val="en-GB"/>
              </w:rPr>
            </w:pPr>
          </w:p>
        </w:tc>
        <w:tc>
          <w:tcPr>
            <w:tcW w:w="419" w:type="dxa"/>
          </w:tcPr>
          <w:p w14:paraId="62F997B6" w14:textId="77777777" w:rsidR="007157A6" w:rsidRPr="007157A6" w:rsidRDefault="007157A6" w:rsidP="007157A6">
            <w:pPr>
              <w:rPr>
                <w:lang w:val="en-GB"/>
              </w:rPr>
            </w:pPr>
          </w:p>
        </w:tc>
      </w:tr>
      <w:tr w:rsidR="007157A6" w:rsidRPr="007157A6" w14:paraId="7910D965" w14:textId="77777777" w:rsidTr="00C850ED">
        <w:tc>
          <w:tcPr>
            <w:tcW w:w="8642" w:type="dxa"/>
            <w:vMerge/>
          </w:tcPr>
          <w:p w14:paraId="134C9E19" w14:textId="77777777" w:rsidR="007157A6" w:rsidRPr="007157A6" w:rsidRDefault="007157A6" w:rsidP="007157A6">
            <w:pPr>
              <w:rPr>
                <w:lang w:val="en-GB"/>
              </w:rPr>
            </w:pPr>
          </w:p>
        </w:tc>
        <w:tc>
          <w:tcPr>
            <w:tcW w:w="3544" w:type="dxa"/>
          </w:tcPr>
          <w:p w14:paraId="7D59E212"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C42C731" w14:textId="77777777" w:rsidR="007157A6" w:rsidRPr="007157A6" w:rsidRDefault="007157A6" w:rsidP="007157A6">
            <w:pPr>
              <w:rPr>
                <w:lang w:val="en-GB"/>
              </w:rPr>
            </w:pPr>
          </w:p>
        </w:tc>
        <w:tc>
          <w:tcPr>
            <w:tcW w:w="418" w:type="dxa"/>
          </w:tcPr>
          <w:p w14:paraId="28E0B058" w14:textId="77777777" w:rsidR="007157A6" w:rsidRPr="007157A6" w:rsidRDefault="007157A6" w:rsidP="007157A6">
            <w:pPr>
              <w:rPr>
                <w:lang w:val="en-GB"/>
              </w:rPr>
            </w:pPr>
          </w:p>
        </w:tc>
        <w:tc>
          <w:tcPr>
            <w:tcW w:w="418" w:type="dxa"/>
          </w:tcPr>
          <w:p w14:paraId="4ED9D817" w14:textId="77777777" w:rsidR="007157A6" w:rsidRPr="007157A6" w:rsidRDefault="007157A6" w:rsidP="007157A6">
            <w:pPr>
              <w:rPr>
                <w:lang w:val="en-GB"/>
              </w:rPr>
            </w:pPr>
          </w:p>
        </w:tc>
        <w:tc>
          <w:tcPr>
            <w:tcW w:w="418" w:type="dxa"/>
          </w:tcPr>
          <w:p w14:paraId="1643C612" w14:textId="77777777" w:rsidR="007157A6" w:rsidRPr="007157A6" w:rsidRDefault="007157A6" w:rsidP="007157A6">
            <w:pPr>
              <w:rPr>
                <w:lang w:val="en-GB"/>
              </w:rPr>
            </w:pPr>
          </w:p>
        </w:tc>
        <w:tc>
          <w:tcPr>
            <w:tcW w:w="419" w:type="dxa"/>
          </w:tcPr>
          <w:p w14:paraId="4112609A" w14:textId="77777777" w:rsidR="007157A6" w:rsidRPr="007157A6" w:rsidRDefault="007157A6" w:rsidP="007157A6">
            <w:pPr>
              <w:rPr>
                <w:lang w:val="en-GB"/>
              </w:rPr>
            </w:pPr>
          </w:p>
        </w:tc>
      </w:tr>
      <w:tr w:rsidR="007157A6" w:rsidRPr="007157A6" w14:paraId="5C72AAA7" w14:textId="77777777" w:rsidTr="00C850ED">
        <w:tc>
          <w:tcPr>
            <w:tcW w:w="8642" w:type="dxa"/>
            <w:shd w:val="clear" w:color="auto" w:fill="D9D9D9" w:themeFill="background1" w:themeFillShade="D9"/>
          </w:tcPr>
          <w:p w14:paraId="1670F5A6"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068CA1D2"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5C28B7D3"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2120FEE2"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09DEE6CB"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4748A02F"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48360BE2" w14:textId="77777777" w:rsidR="007157A6" w:rsidRPr="007157A6" w:rsidRDefault="007157A6" w:rsidP="007157A6">
            <w:pPr>
              <w:rPr>
                <w:b/>
                <w:lang w:val="en-GB"/>
              </w:rPr>
            </w:pPr>
            <w:r w:rsidRPr="007157A6">
              <w:rPr>
                <w:b/>
                <w:lang w:val="en-GB"/>
              </w:rPr>
              <w:t>1</w:t>
            </w:r>
          </w:p>
        </w:tc>
      </w:tr>
      <w:tr w:rsidR="007157A6" w:rsidRPr="007157A6" w14:paraId="665DC6ED" w14:textId="77777777" w:rsidTr="00C850ED">
        <w:tc>
          <w:tcPr>
            <w:tcW w:w="8642" w:type="dxa"/>
            <w:vMerge w:val="restart"/>
          </w:tcPr>
          <w:p w14:paraId="3609A26F" w14:textId="77777777" w:rsidR="007157A6" w:rsidRPr="007157A6" w:rsidRDefault="007157A6" w:rsidP="00717905">
            <w:pPr>
              <w:rPr>
                <w:lang w:val="en-GB"/>
              </w:rPr>
            </w:pPr>
            <w:r w:rsidRPr="007157A6">
              <w:rPr>
                <w:lang w:val="en-GB"/>
              </w:rPr>
              <w:t xml:space="preserve">The following in particular must be considered in connection with investments in stock and in equity funds: Preparation of policies on the exercise of voting rights in respect of </w:t>
            </w:r>
            <w:r w:rsidRPr="007157A6">
              <w:rPr>
                <w:lang w:val="en-GB"/>
              </w:rPr>
              <w:lastRenderedPageBreak/>
              <w:t>sustainability topics as well as disclosures of the voting outcomes in connection with these topics.</w:t>
            </w:r>
          </w:p>
        </w:tc>
        <w:tc>
          <w:tcPr>
            <w:tcW w:w="3544" w:type="dxa"/>
          </w:tcPr>
          <w:p w14:paraId="2AA94708"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3B16B50E" w14:textId="77777777" w:rsidR="007157A6" w:rsidRPr="007157A6" w:rsidRDefault="007157A6" w:rsidP="007157A6">
            <w:pPr>
              <w:rPr>
                <w:lang w:val="en-GB"/>
              </w:rPr>
            </w:pPr>
          </w:p>
        </w:tc>
        <w:tc>
          <w:tcPr>
            <w:tcW w:w="418" w:type="dxa"/>
          </w:tcPr>
          <w:p w14:paraId="712CA7EF" w14:textId="77777777" w:rsidR="007157A6" w:rsidRPr="007157A6" w:rsidRDefault="007157A6" w:rsidP="007157A6">
            <w:pPr>
              <w:rPr>
                <w:lang w:val="en-GB"/>
              </w:rPr>
            </w:pPr>
          </w:p>
        </w:tc>
        <w:tc>
          <w:tcPr>
            <w:tcW w:w="418" w:type="dxa"/>
          </w:tcPr>
          <w:p w14:paraId="59337176" w14:textId="77777777" w:rsidR="007157A6" w:rsidRPr="007157A6" w:rsidRDefault="007157A6" w:rsidP="007157A6">
            <w:pPr>
              <w:rPr>
                <w:lang w:val="en-GB"/>
              </w:rPr>
            </w:pPr>
          </w:p>
        </w:tc>
        <w:tc>
          <w:tcPr>
            <w:tcW w:w="418" w:type="dxa"/>
          </w:tcPr>
          <w:p w14:paraId="25949C9A" w14:textId="77777777" w:rsidR="007157A6" w:rsidRPr="007157A6" w:rsidRDefault="007157A6" w:rsidP="007157A6">
            <w:pPr>
              <w:rPr>
                <w:lang w:val="en-GB"/>
              </w:rPr>
            </w:pPr>
          </w:p>
        </w:tc>
        <w:tc>
          <w:tcPr>
            <w:tcW w:w="419" w:type="dxa"/>
          </w:tcPr>
          <w:p w14:paraId="51488687" w14:textId="77777777" w:rsidR="007157A6" w:rsidRPr="007157A6" w:rsidRDefault="007157A6" w:rsidP="007157A6">
            <w:pPr>
              <w:rPr>
                <w:lang w:val="en-GB"/>
              </w:rPr>
            </w:pPr>
          </w:p>
        </w:tc>
      </w:tr>
      <w:tr w:rsidR="007157A6" w:rsidRPr="007157A6" w14:paraId="3D2869C0" w14:textId="77777777" w:rsidTr="00C850ED">
        <w:tc>
          <w:tcPr>
            <w:tcW w:w="8642" w:type="dxa"/>
            <w:vMerge/>
          </w:tcPr>
          <w:p w14:paraId="36A562CA" w14:textId="77777777" w:rsidR="007157A6" w:rsidRPr="007157A6" w:rsidRDefault="007157A6" w:rsidP="007157A6">
            <w:pPr>
              <w:rPr>
                <w:lang w:val="en-GB"/>
              </w:rPr>
            </w:pPr>
          </w:p>
        </w:tc>
        <w:tc>
          <w:tcPr>
            <w:tcW w:w="3544" w:type="dxa"/>
          </w:tcPr>
          <w:p w14:paraId="01CBC06B" w14:textId="77777777" w:rsidR="007157A6" w:rsidRPr="007157A6" w:rsidRDefault="007157A6" w:rsidP="007157A6">
            <w:pPr>
              <w:rPr>
                <w:lang w:val="en-GB"/>
              </w:rPr>
            </w:pPr>
            <w:r w:rsidRPr="007157A6">
              <w:rPr>
                <w:lang w:val="en-GB"/>
              </w:rPr>
              <w:t>Level of ambition</w:t>
            </w:r>
          </w:p>
        </w:tc>
        <w:tc>
          <w:tcPr>
            <w:tcW w:w="418" w:type="dxa"/>
          </w:tcPr>
          <w:p w14:paraId="00A184F8" w14:textId="77777777" w:rsidR="007157A6" w:rsidRPr="007157A6" w:rsidRDefault="007157A6" w:rsidP="007157A6">
            <w:pPr>
              <w:rPr>
                <w:lang w:val="en-GB"/>
              </w:rPr>
            </w:pPr>
          </w:p>
        </w:tc>
        <w:tc>
          <w:tcPr>
            <w:tcW w:w="418" w:type="dxa"/>
          </w:tcPr>
          <w:p w14:paraId="4F76C522" w14:textId="77777777" w:rsidR="007157A6" w:rsidRPr="007157A6" w:rsidRDefault="007157A6" w:rsidP="007157A6">
            <w:pPr>
              <w:rPr>
                <w:lang w:val="en-GB"/>
              </w:rPr>
            </w:pPr>
          </w:p>
        </w:tc>
        <w:tc>
          <w:tcPr>
            <w:tcW w:w="418" w:type="dxa"/>
          </w:tcPr>
          <w:p w14:paraId="1A758C2E" w14:textId="77777777" w:rsidR="007157A6" w:rsidRPr="007157A6" w:rsidRDefault="007157A6" w:rsidP="007157A6">
            <w:pPr>
              <w:rPr>
                <w:lang w:val="en-GB"/>
              </w:rPr>
            </w:pPr>
          </w:p>
        </w:tc>
        <w:tc>
          <w:tcPr>
            <w:tcW w:w="418" w:type="dxa"/>
          </w:tcPr>
          <w:p w14:paraId="2A8F777C" w14:textId="77777777" w:rsidR="007157A6" w:rsidRPr="007157A6" w:rsidRDefault="007157A6" w:rsidP="007157A6">
            <w:pPr>
              <w:rPr>
                <w:lang w:val="en-GB"/>
              </w:rPr>
            </w:pPr>
          </w:p>
        </w:tc>
        <w:tc>
          <w:tcPr>
            <w:tcW w:w="419" w:type="dxa"/>
          </w:tcPr>
          <w:p w14:paraId="5CE7A16B" w14:textId="77777777" w:rsidR="007157A6" w:rsidRPr="007157A6" w:rsidRDefault="007157A6" w:rsidP="007157A6">
            <w:pPr>
              <w:rPr>
                <w:lang w:val="en-GB"/>
              </w:rPr>
            </w:pPr>
          </w:p>
        </w:tc>
      </w:tr>
      <w:tr w:rsidR="007157A6" w:rsidRPr="007157A6" w14:paraId="0616CECC" w14:textId="77777777" w:rsidTr="00C850ED">
        <w:tc>
          <w:tcPr>
            <w:tcW w:w="8642" w:type="dxa"/>
            <w:vMerge/>
          </w:tcPr>
          <w:p w14:paraId="526DC975" w14:textId="77777777" w:rsidR="007157A6" w:rsidRPr="007157A6" w:rsidRDefault="007157A6" w:rsidP="007157A6">
            <w:pPr>
              <w:rPr>
                <w:lang w:val="en-GB"/>
              </w:rPr>
            </w:pPr>
          </w:p>
        </w:tc>
        <w:tc>
          <w:tcPr>
            <w:tcW w:w="3544" w:type="dxa"/>
          </w:tcPr>
          <w:p w14:paraId="58D67E1F" w14:textId="77777777" w:rsidR="007157A6" w:rsidRPr="007157A6" w:rsidRDefault="007157A6" w:rsidP="007157A6">
            <w:pPr>
              <w:rPr>
                <w:lang w:val="en-GB"/>
              </w:rPr>
            </w:pPr>
            <w:r w:rsidRPr="007157A6">
              <w:rPr>
                <w:lang w:val="en-GB"/>
              </w:rPr>
              <w:t>Practicability</w:t>
            </w:r>
          </w:p>
        </w:tc>
        <w:tc>
          <w:tcPr>
            <w:tcW w:w="418" w:type="dxa"/>
          </w:tcPr>
          <w:p w14:paraId="37B14554" w14:textId="77777777" w:rsidR="007157A6" w:rsidRPr="007157A6" w:rsidRDefault="007157A6" w:rsidP="007157A6">
            <w:pPr>
              <w:rPr>
                <w:lang w:val="en-GB"/>
              </w:rPr>
            </w:pPr>
          </w:p>
        </w:tc>
        <w:tc>
          <w:tcPr>
            <w:tcW w:w="418" w:type="dxa"/>
          </w:tcPr>
          <w:p w14:paraId="26BD67BB" w14:textId="77777777" w:rsidR="007157A6" w:rsidRPr="007157A6" w:rsidRDefault="007157A6" w:rsidP="007157A6">
            <w:pPr>
              <w:rPr>
                <w:lang w:val="en-GB"/>
              </w:rPr>
            </w:pPr>
          </w:p>
        </w:tc>
        <w:tc>
          <w:tcPr>
            <w:tcW w:w="418" w:type="dxa"/>
          </w:tcPr>
          <w:p w14:paraId="4B413DF6" w14:textId="77777777" w:rsidR="007157A6" w:rsidRPr="007157A6" w:rsidRDefault="007157A6" w:rsidP="007157A6">
            <w:pPr>
              <w:rPr>
                <w:lang w:val="en-GB"/>
              </w:rPr>
            </w:pPr>
          </w:p>
        </w:tc>
        <w:tc>
          <w:tcPr>
            <w:tcW w:w="418" w:type="dxa"/>
          </w:tcPr>
          <w:p w14:paraId="20F2D5B8" w14:textId="77777777" w:rsidR="007157A6" w:rsidRPr="007157A6" w:rsidRDefault="007157A6" w:rsidP="007157A6">
            <w:pPr>
              <w:rPr>
                <w:lang w:val="en-GB"/>
              </w:rPr>
            </w:pPr>
          </w:p>
        </w:tc>
        <w:tc>
          <w:tcPr>
            <w:tcW w:w="419" w:type="dxa"/>
          </w:tcPr>
          <w:p w14:paraId="1EFDB509" w14:textId="77777777" w:rsidR="007157A6" w:rsidRPr="007157A6" w:rsidRDefault="007157A6" w:rsidP="007157A6">
            <w:pPr>
              <w:rPr>
                <w:lang w:val="en-GB"/>
              </w:rPr>
            </w:pPr>
          </w:p>
        </w:tc>
      </w:tr>
      <w:tr w:rsidR="007157A6" w:rsidRPr="007157A6" w14:paraId="00C332EC" w14:textId="77777777" w:rsidTr="00C850ED">
        <w:tc>
          <w:tcPr>
            <w:tcW w:w="8642" w:type="dxa"/>
            <w:vMerge/>
          </w:tcPr>
          <w:p w14:paraId="34082840" w14:textId="77777777" w:rsidR="007157A6" w:rsidRPr="007157A6" w:rsidRDefault="007157A6" w:rsidP="007157A6">
            <w:pPr>
              <w:rPr>
                <w:lang w:val="en-GB"/>
              </w:rPr>
            </w:pPr>
          </w:p>
        </w:tc>
        <w:tc>
          <w:tcPr>
            <w:tcW w:w="3544" w:type="dxa"/>
          </w:tcPr>
          <w:p w14:paraId="37FCE54F"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BF5DB2A" w14:textId="77777777" w:rsidR="007157A6" w:rsidRPr="007157A6" w:rsidRDefault="007157A6" w:rsidP="007157A6">
            <w:pPr>
              <w:rPr>
                <w:lang w:val="en-GB"/>
              </w:rPr>
            </w:pPr>
          </w:p>
        </w:tc>
        <w:tc>
          <w:tcPr>
            <w:tcW w:w="418" w:type="dxa"/>
          </w:tcPr>
          <w:p w14:paraId="21E5E7CD" w14:textId="77777777" w:rsidR="007157A6" w:rsidRPr="007157A6" w:rsidRDefault="007157A6" w:rsidP="007157A6">
            <w:pPr>
              <w:rPr>
                <w:lang w:val="en-GB"/>
              </w:rPr>
            </w:pPr>
          </w:p>
        </w:tc>
        <w:tc>
          <w:tcPr>
            <w:tcW w:w="418" w:type="dxa"/>
          </w:tcPr>
          <w:p w14:paraId="0BFA5B99" w14:textId="77777777" w:rsidR="007157A6" w:rsidRPr="007157A6" w:rsidRDefault="007157A6" w:rsidP="007157A6">
            <w:pPr>
              <w:rPr>
                <w:lang w:val="en-GB"/>
              </w:rPr>
            </w:pPr>
          </w:p>
        </w:tc>
        <w:tc>
          <w:tcPr>
            <w:tcW w:w="418" w:type="dxa"/>
          </w:tcPr>
          <w:p w14:paraId="1E98B1EF" w14:textId="77777777" w:rsidR="007157A6" w:rsidRPr="007157A6" w:rsidRDefault="007157A6" w:rsidP="007157A6">
            <w:pPr>
              <w:rPr>
                <w:lang w:val="en-GB"/>
              </w:rPr>
            </w:pPr>
          </w:p>
        </w:tc>
        <w:tc>
          <w:tcPr>
            <w:tcW w:w="419" w:type="dxa"/>
          </w:tcPr>
          <w:p w14:paraId="62EEDDE3" w14:textId="77777777" w:rsidR="007157A6" w:rsidRPr="007157A6" w:rsidRDefault="007157A6" w:rsidP="007157A6">
            <w:pPr>
              <w:rPr>
                <w:lang w:val="en-GB"/>
              </w:rPr>
            </w:pPr>
          </w:p>
        </w:tc>
      </w:tr>
      <w:tr w:rsidR="007157A6" w:rsidRPr="007157A6" w14:paraId="336B6BD4" w14:textId="77777777" w:rsidTr="00C850ED">
        <w:tc>
          <w:tcPr>
            <w:tcW w:w="8642" w:type="dxa"/>
            <w:shd w:val="clear" w:color="auto" w:fill="D9D9D9" w:themeFill="background1" w:themeFillShade="D9"/>
          </w:tcPr>
          <w:p w14:paraId="5B8538F6" w14:textId="77777777" w:rsidR="007157A6" w:rsidRPr="007157A6" w:rsidRDefault="007157A6" w:rsidP="007157A6">
            <w:pPr>
              <w:rPr>
                <w:lang w:val="en-GB"/>
              </w:rPr>
            </w:pPr>
            <w:proofErr w:type="spellStart"/>
            <w:r w:rsidRPr="007157A6">
              <w:rPr>
                <w:b/>
                <w:lang w:val="en-GB"/>
              </w:rPr>
              <w:t>Handlungsempfehlung</w:t>
            </w:r>
            <w:proofErr w:type="spellEnd"/>
          </w:p>
        </w:tc>
        <w:tc>
          <w:tcPr>
            <w:tcW w:w="3544" w:type="dxa"/>
            <w:shd w:val="clear" w:color="auto" w:fill="D9D9D9" w:themeFill="background1" w:themeFillShade="D9"/>
          </w:tcPr>
          <w:p w14:paraId="20E71C2C"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D308B04"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A51F9C9"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25E86BFD"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08385D3"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30B1E358" w14:textId="77777777" w:rsidR="007157A6" w:rsidRPr="007157A6" w:rsidRDefault="007157A6" w:rsidP="007157A6">
            <w:pPr>
              <w:rPr>
                <w:lang w:val="en-GB"/>
              </w:rPr>
            </w:pPr>
            <w:r w:rsidRPr="007157A6">
              <w:rPr>
                <w:b/>
                <w:lang w:val="en-GB"/>
              </w:rPr>
              <w:t>1</w:t>
            </w:r>
          </w:p>
        </w:tc>
      </w:tr>
      <w:tr w:rsidR="007157A6" w:rsidRPr="007157A6" w14:paraId="2CB11738" w14:textId="77777777" w:rsidTr="00C850ED">
        <w:tc>
          <w:tcPr>
            <w:tcW w:w="8642" w:type="dxa"/>
            <w:vMerge w:val="restart"/>
          </w:tcPr>
          <w:p w14:paraId="3B147B15" w14:textId="77777777" w:rsidR="007157A6" w:rsidRPr="007157A6" w:rsidRDefault="007157A6" w:rsidP="00717905">
            <w:pPr>
              <w:rPr>
                <w:lang w:val="en-GB"/>
              </w:rPr>
            </w:pPr>
            <w:r w:rsidRPr="007157A6">
              <w:rPr>
                <w:lang w:val="en-GB"/>
              </w:rPr>
              <w:t>The following in particular must be considered in connection with investments in stock and in equity funds: Publication of the engagement strategy respecting sustainability topics along with a report as to what engagement dialogues have been conducted with companies (reasons and results).</w:t>
            </w:r>
          </w:p>
        </w:tc>
        <w:tc>
          <w:tcPr>
            <w:tcW w:w="3544" w:type="dxa"/>
          </w:tcPr>
          <w:p w14:paraId="1BC2B105" w14:textId="77777777" w:rsidR="007157A6" w:rsidRPr="007157A6" w:rsidRDefault="007157A6" w:rsidP="007157A6">
            <w:pPr>
              <w:rPr>
                <w:lang w:val="en-GB"/>
              </w:rPr>
            </w:pPr>
            <w:r w:rsidRPr="007157A6">
              <w:rPr>
                <w:lang w:val="en-GB"/>
              </w:rPr>
              <w:t>Will foster Sustainable Finance in Germany</w:t>
            </w:r>
          </w:p>
        </w:tc>
        <w:tc>
          <w:tcPr>
            <w:tcW w:w="418" w:type="dxa"/>
          </w:tcPr>
          <w:p w14:paraId="170DBEDF" w14:textId="77777777" w:rsidR="007157A6" w:rsidRPr="007157A6" w:rsidRDefault="007157A6" w:rsidP="007157A6">
            <w:pPr>
              <w:rPr>
                <w:lang w:val="en-GB"/>
              </w:rPr>
            </w:pPr>
          </w:p>
        </w:tc>
        <w:tc>
          <w:tcPr>
            <w:tcW w:w="418" w:type="dxa"/>
          </w:tcPr>
          <w:p w14:paraId="05603161" w14:textId="77777777" w:rsidR="007157A6" w:rsidRPr="007157A6" w:rsidRDefault="007157A6" w:rsidP="007157A6">
            <w:pPr>
              <w:rPr>
                <w:lang w:val="en-GB"/>
              </w:rPr>
            </w:pPr>
          </w:p>
        </w:tc>
        <w:tc>
          <w:tcPr>
            <w:tcW w:w="418" w:type="dxa"/>
          </w:tcPr>
          <w:p w14:paraId="56530AD6" w14:textId="77777777" w:rsidR="007157A6" w:rsidRPr="007157A6" w:rsidRDefault="007157A6" w:rsidP="007157A6">
            <w:pPr>
              <w:rPr>
                <w:lang w:val="en-GB"/>
              </w:rPr>
            </w:pPr>
          </w:p>
        </w:tc>
        <w:tc>
          <w:tcPr>
            <w:tcW w:w="418" w:type="dxa"/>
          </w:tcPr>
          <w:p w14:paraId="4AD3A136" w14:textId="77777777" w:rsidR="007157A6" w:rsidRPr="007157A6" w:rsidRDefault="007157A6" w:rsidP="007157A6">
            <w:pPr>
              <w:rPr>
                <w:lang w:val="en-GB"/>
              </w:rPr>
            </w:pPr>
          </w:p>
        </w:tc>
        <w:tc>
          <w:tcPr>
            <w:tcW w:w="419" w:type="dxa"/>
          </w:tcPr>
          <w:p w14:paraId="33DC7CEB" w14:textId="77777777" w:rsidR="007157A6" w:rsidRPr="007157A6" w:rsidRDefault="007157A6" w:rsidP="007157A6">
            <w:pPr>
              <w:rPr>
                <w:lang w:val="en-GB"/>
              </w:rPr>
            </w:pPr>
          </w:p>
        </w:tc>
      </w:tr>
      <w:tr w:rsidR="007157A6" w:rsidRPr="007157A6" w14:paraId="0ED1E390" w14:textId="77777777" w:rsidTr="00C850ED">
        <w:tc>
          <w:tcPr>
            <w:tcW w:w="8642" w:type="dxa"/>
            <w:vMerge/>
          </w:tcPr>
          <w:p w14:paraId="20D47CA3" w14:textId="77777777" w:rsidR="007157A6" w:rsidRPr="007157A6" w:rsidRDefault="007157A6" w:rsidP="007157A6">
            <w:pPr>
              <w:rPr>
                <w:lang w:val="en-GB"/>
              </w:rPr>
            </w:pPr>
          </w:p>
        </w:tc>
        <w:tc>
          <w:tcPr>
            <w:tcW w:w="3544" w:type="dxa"/>
          </w:tcPr>
          <w:p w14:paraId="12BE4306" w14:textId="77777777" w:rsidR="007157A6" w:rsidRPr="007157A6" w:rsidRDefault="007157A6" w:rsidP="007157A6">
            <w:pPr>
              <w:rPr>
                <w:lang w:val="en-GB"/>
              </w:rPr>
            </w:pPr>
            <w:r w:rsidRPr="007157A6">
              <w:rPr>
                <w:lang w:val="en-GB"/>
              </w:rPr>
              <w:t>Level of ambition</w:t>
            </w:r>
          </w:p>
        </w:tc>
        <w:tc>
          <w:tcPr>
            <w:tcW w:w="418" w:type="dxa"/>
          </w:tcPr>
          <w:p w14:paraId="281DED6F" w14:textId="77777777" w:rsidR="007157A6" w:rsidRPr="007157A6" w:rsidRDefault="007157A6" w:rsidP="007157A6">
            <w:pPr>
              <w:rPr>
                <w:lang w:val="en-GB"/>
              </w:rPr>
            </w:pPr>
          </w:p>
        </w:tc>
        <w:tc>
          <w:tcPr>
            <w:tcW w:w="418" w:type="dxa"/>
          </w:tcPr>
          <w:p w14:paraId="1F2A9444" w14:textId="77777777" w:rsidR="007157A6" w:rsidRPr="007157A6" w:rsidRDefault="007157A6" w:rsidP="007157A6">
            <w:pPr>
              <w:rPr>
                <w:lang w:val="en-GB"/>
              </w:rPr>
            </w:pPr>
          </w:p>
        </w:tc>
        <w:tc>
          <w:tcPr>
            <w:tcW w:w="418" w:type="dxa"/>
          </w:tcPr>
          <w:p w14:paraId="3F86BF7B" w14:textId="77777777" w:rsidR="007157A6" w:rsidRPr="007157A6" w:rsidRDefault="007157A6" w:rsidP="007157A6">
            <w:pPr>
              <w:rPr>
                <w:lang w:val="en-GB"/>
              </w:rPr>
            </w:pPr>
          </w:p>
        </w:tc>
        <w:tc>
          <w:tcPr>
            <w:tcW w:w="418" w:type="dxa"/>
          </w:tcPr>
          <w:p w14:paraId="2F6CB62A" w14:textId="77777777" w:rsidR="007157A6" w:rsidRPr="007157A6" w:rsidRDefault="007157A6" w:rsidP="007157A6">
            <w:pPr>
              <w:rPr>
                <w:lang w:val="en-GB"/>
              </w:rPr>
            </w:pPr>
          </w:p>
        </w:tc>
        <w:tc>
          <w:tcPr>
            <w:tcW w:w="419" w:type="dxa"/>
          </w:tcPr>
          <w:p w14:paraId="789532FC" w14:textId="77777777" w:rsidR="007157A6" w:rsidRPr="007157A6" w:rsidRDefault="007157A6" w:rsidP="007157A6">
            <w:pPr>
              <w:rPr>
                <w:lang w:val="en-GB"/>
              </w:rPr>
            </w:pPr>
          </w:p>
        </w:tc>
      </w:tr>
      <w:tr w:rsidR="007157A6" w:rsidRPr="007157A6" w14:paraId="16A510D8" w14:textId="77777777" w:rsidTr="00C850ED">
        <w:tc>
          <w:tcPr>
            <w:tcW w:w="8642" w:type="dxa"/>
            <w:vMerge/>
          </w:tcPr>
          <w:p w14:paraId="2513C216" w14:textId="77777777" w:rsidR="007157A6" w:rsidRPr="007157A6" w:rsidRDefault="007157A6" w:rsidP="007157A6">
            <w:pPr>
              <w:rPr>
                <w:lang w:val="en-GB"/>
              </w:rPr>
            </w:pPr>
          </w:p>
        </w:tc>
        <w:tc>
          <w:tcPr>
            <w:tcW w:w="3544" w:type="dxa"/>
          </w:tcPr>
          <w:p w14:paraId="0209975E" w14:textId="77777777" w:rsidR="007157A6" w:rsidRPr="007157A6" w:rsidRDefault="007157A6" w:rsidP="007157A6">
            <w:pPr>
              <w:rPr>
                <w:lang w:val="en-GB"/>
              </w:rPr>
            </w:pPr>
            <w:r w:rsidRPr="007157A6">
              <w:rPr>
                <w:lang w:val="en-GB"/>
              </w:rPr>
              <w:t>Practicability</w:t>
            </w:r>
          </w:p>
        </w:tc>
        <w:tc>
          <w:tcPr>
            <w:tcW w:w="418" w:type="dxa"/>
          </w:tcPr>
          <w:p w14:paraId="4500AEAA" w14:textId="77777777" w:rsidR="007157A6" w:rsidRPr="007157A6" w:rsidRDefault="007157A6" w:rsidP="007157A6">
            <w:pPr>
              <w:rPr>
                <w:lang w:val="en-GB"/>
              </w:rPr>
            </w:pPr>
          </w:p>
        </w:tc>
        <w:tc>
          <w:tcPr>
            <w:tcW w:w="418" w:type="dxa"/>
          </w:tcPr>
          <w:p w14:paraId="46398E78" w14:textId="77777777" w:rsidR="007157A6" w:rsidRPr="007157A6" w:rsidRDefault="007157A6" w:rsidP="007157A6">
            <w:pPr>
              <w:rPr>
                <w:lang w:val="en-GB"/>
              </w:rPr>
            </w:pPr>
          </w:p>
        </w:tc>
        <w:tc>
          <w:tcPr>
            <w:tcW w:w="418" w:type="dxa"/>
          </w:tcPr>
          <w:p w14:paraId="291B72DA" w14:textId="77777777" w:rsidR="007157A6" w:rsidRPr="007157A6" w:rsidRDefault="007157A6" w:rsidP="007157A6">
            <w:pPr>
              <w:rPr>
                <w:lang w:val="en-GB"/>
              </w:rPr>
            </w:pPr>
          </w:p>
        </w:tc>
        <w:tc>
          <w:tcPr>
            <w:tcW w:w="418" w:type="dxa"/>
          </w:tcPr>
          <w:p w14:paraId="1D11E632" w14:textId="77777777" w:rsidR="007157A6" w:rsidRPr="007157A6" w:rsidRDefault="007157A6" w:rsidP="007157A6">
            <w:pPr>
              <w:rPr>
                <w:lang w:val="en-GB"/>
              </w:rPr>
            </w:pPr>
          </w:p>
        </w:tc>
        <w:tc>
          <w:tcPr>
            <w:tcW w:w="419" w:type="dxa"/>
          </w:tcPr>
          <w:p w14:paraId="52B8CD33" w14:textId="77777777" w:rsidR="007157A6" w:rsidRPr="007157A6" w:rsidRDefault="007157A6" w:rsidP="007157A6">
            <w:pPr>
              <w:rPr>
                <w:lang w:val="en-GB"/>
              </w:rPr>
            </w:pPr>
          </w:p>
        </w:tc>
      </w:tr>
      <w:tr w:rsidR="007157A6" w:rsidRPr="007157A6" w14:paraId="1990D9CE" w14:textId="77777777" w:rsidTr="00C850ED">
        <w:tc>
          <w:tcPr>
            <w:tcW w:w="8642" w:type="dxa"/>
            <w:vMerge/>
          </w:tcPr>
          <w:p w14:paraId="5583F6D9" w14:textId="77777777" w:rsidR="007157A6" w:rsidRPr="007157A6" w:rsidRDefault="007157A6" w:rsidP="007157A6">
            <w:pPr>
              <w:rPr>
                <w:lang w:val="en-GB"/>
              </w:rPr>
            </w:pPr>
          </w:p>
        </w:tc>
        <w:tc>
          <w:tcPr>
            <w:tcW w:w="3544" w:type="dxa"/>
          </w:tcPr>
          <w:p w14:paraId="42A1CE81"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47C0560" w14:textId="77777777" w:rsidR="007157A6" w:rsidRPr="007157A6" w:rsidRDefault="007157A6" w:rsidP="007157A6">
            <w:pPr>
              <w:rPr>
                <w:lang w:val="en-GB"/>
              </w:rPr>
            </w:pPr>
          </w:p>
        </w:tc>
        <w:tc>
          <w:tcPr>
            <w:tcW w:w="418" w:type="dxa"/>
          </w:tcPr>
          <w:p w14:paraId="34E71DE6" w14:textId="77777777" w:rsidR="007157A6" w:rsidRPr="007157A6" w:rsidRDefault="007157A6" w:rsidP="007157A6">
            <w:pPr>
              <w:rPr>
                <w:lang w:val="en-GB"/>
              </w:rPr>
            </w:pPr>
          </w:p>
        </w:tc>
        <w:tc>
          <w:tcPr>
            <w:tcW w:w="418" w:type="dxa"/>
          </w:tcPr>
          <w:p w14:paraId="2172DB38" w14:textId="77777777" w:rsidR="007157A6" w:rsidRPr="007157A6" w:rsidRDefault="007157A6" w:rsidP="007157A6">
            <w:pPr>
              <w:rPr>
                <w:lang w:val="en-GB"/>
              </w:rPr>
            </w:pPr>
          </w:p>
        </w:tc>
        <w:tc>
          <w:tcPr>
            <w:tcW w:w="418" w:type="dxa"/>
          </w:tcPr>
          <w:p w14:paraId="4E50C4F1" w14:textId="77777777" w:rsidR="007157A6" w:rsidRPr="007157A6" w:rsidRDefault="007157A6" w:rsidP="007157A6">
            <w:pPr>
              <w:rPr>
                <w:lang w:val="en-GB"/>
              </w:rPr>
            </w:pPr>
          </w:p>
        </w:tc>
        <w:tc>
          <w:tcPr>
            <w:tcW w:w="419" w:type="dxa"/>
          </w:tcPr>
          <w:p w14:paraId="0BA023FA" w14:textId="77777777" w:rsidR="007157A6" w:rsidRPr="007157A6" w:rsidRDefault="007157A6" w:rsidP="007157A6">
            <w:pPr>
              <w:rPr>
                <w:lang w:val="en-GB"/>
              </w:rPr>
            </w:pPr>
          </w:p>
        </w:tc>
      </w:tr>
      <w:tr w:rsidR="007157A6" w:rsidRPr="007157A6" w14:paraId="46AF21A4" w14:textId="77777777" w:rsidTr="00C850ED">
        <w:tc>
          <w:tcPr>
            <w:tcW w:w="8642" w:type="dxa"/>
            <w:shd w:val="clear" w:color="auto" w:fill="D9D9D9" w:themeFill="background1" w:themeFillShade="D9"/>
          </w:tcPr>
          <w:p w14:paraId="65007F36"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5F1D307A"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DD9ADCE"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2EDB0D9"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13A635CC"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6A6A9917"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67FFA39" w14:textId="77777777" w:rsidR="007157A6" w:rsidRPr="007157A6" w:rsidRDefault="007157A6" w:rsidP="007157A6">
            <w:pPr>
              <w:rPr>
                <w:lang w:val="en-GB"/>
              </w:rPr>
            </w:pPr>
            <w:r w:rsidRPr="007157A6">
              <w:rPr>
                <w:b/>
                <w:lang w:val="en-GB"/>
              </w:rPr>
              <w:t>1</w:t>
            </w:r>
          </w:p>
        </w:tc>
      </w:tr>
      <w:tr w:rsidR="007157A6" w:rsidRPr="007157A6" w14:paraId="1C509840" w14:textId="77777777" w:rsidTr="00C850ED">
        <w:tc>
          <w:tcPr>
            <w:tcW w:w="8642" w:type="dxa"/>
            <w:vMerge w:val="restart"/>
          </w:tcPr>
          <w:p w14:paraId="47AA6E9D" w14:textId="77777777" w:rsidR="007157A6" w:rsidRPr="007157A6" w:rsidRDefault="007157A6" w:rsidP="007157A6">
            <w:pPr>
              <w:rPr>
                <w:lang w:val="en-GB"/>
              </w:rPr>
            </w:pPr>
            <w:r w:rsidRPr="007157A6">
              <w:rPr>
                <w:lang w:val="en-GB"/>
              </w:rPr>
              <w:t>Particular transparency should be applied with respect to the German federal government as an investor. Accordingly, all of the German federal government’s portfolios should be published, using the Norwegian pension fund as an example.</w:t>
            </w:r>
          </w:p>
        </w:tc>
        <w:tc>
          <w:tcPr>
            <w:tcW w:w="3544" w:type="dxa"/>
          </w:tcPr>
          <w:p w14:paraId="7062554C" w14:textId="77777777" w:rsidR="007157A6" w:rsidRPr="007157A6" w:rsidRDefault="007157A6" w:rsidP="007157A6">
            <w:pPr>
              <w:rPr>
                <w:lang w:val="en-GB"/>
              </w:rPr>
            </w:pPr>
            <w:r w:rsidRPr="007157A6">
              <w:rPr>
                <w:lang w:val="en-GB"/>
              </w:rPr>
              <w:t>Will foster Sustainable Finance in Germany</w:t>
            </w:r>
          </w:p>
        </w:tc>
        <w:tc>
          <w:tcPr>
            <w:tcW w:w="418" w:type="dxa"/>
          </w:tcPr>
          <w:p w14:paraId="076F43C4" w14:textId="77777777" w:rsidR="007157A6" w:rsidRPr="007157A6" w:rsidRDefault="007157A6" w:rsidP="007157A6">
            <w:pPr>
              <w:rPr>
                <w:lang w:val="en-GB"/>
              </w:rPr>
            </w:pPr>
          </w:p>
        </w:tc>
        <w:tc>
          <w:tcPr>
            <w:tcW w:w="418" w:type="dxa"/>
          </w:tcPr>
          <w:p w14:paraId="5287731E" w14:textId="77777777" w:rsidR="007157A6" w:rsidRPr="007157A6" w:rsidRDefault="007157A6" w:rsidP="007157A6">
            <w:pPr>
              <w:rPr>
                <w:lang w:val="en-GB"/>
              </w:rPr>
            </w:pPr>
          </w:p>
        </w:tc>
        <w:tc>
          <w:tcPr>
            <w:tcW w:w="418" w:type="dxa"/>
          </w:tcPr>
          <w:p w14:paraId="31583997" w14:textId="77777777" w:rsidR="007157A6" w:rsidRPr="007157A6" w:rsidRDefault="007157A6" w:rsidP="007157A6">
            <w:pPr>
              <w:rPr>
                <w:lang w:val="en-GB"/>
              </w:rPr>
            </w:pPr>
          </w:p>
        </w:tc>
        <w:tc>
          <w:tcPr>
            <w:tcW w:w="418" w:type="dxa"/>
          </w:tcPr>
          <w:p w14:paraId="20A61AB8" w14:textId="77777777" w:rsidR="007157A6" w:rsidRPr="007157A6" w:rsidRDefault="007157A6" w:rsidP="007157A6">
            <w:pPr>
              <w:rPr>
                <w:lang w:val="en-GB"/>
              </w:rPr>
            </w:pPr>
          </w:p>
        </w:tc>
        <w:tc>
          <w:tcPr>
            <w:tcW w:w="419" w:type="dxa"/>
          </w:tcPr>
          <w:p w14:paraId="1F5BB58D" w14:textId="77777777" w:rsidR="007157A6" w:rsidRPr="007157A6" w:rsidRDefault="007157A6" w:rsidP="007157A6">
            <w:pPr>
              <w:rPr>
                <w:lang w:val="en-GB"/>
              </w:rPr>
            </w:pPr>
          </w:p>
        </w:tc>
      </w:tr>
      <w:tr w:rsidR="007157A6" w:rsidRPr="007157A6" w14:paraId="2F997720" w14:textId="77777777" w:rsidTr="00C850ED">
        <w:tc>
          <w:tcPr>
            <w:tcW w:w="8642" w:type="dxa"/>
            <w:vMerge/>
          </w:tcPr>
          <w:p w14:paraId="5AED814D" w14:textId="77777777" w:rsidR="007157A6" w:rsidRPr="007157A6" w:rsidRDefault="007157A6" w:rsidP="007157A6">
            <w:pPr>
              <w:rPr>
                <w:lang w:val="en-GB"/>
              </w:rPr>
            </w:pPr>
          </w:p>
        </w:tc>
        <w:tc>
          <w:tcPr>
            <w:tcW w:w="3544" w:type="dxa"/>
          </w:tcPr>
          <w:p w14:paraId="64864DB3" w14:textId="77777777" w:rsidR="007157A6" w:rsidRPr="007157A6" w:rsidRDefault="007157A6" w:rsidP="007157A6">
            <w:pPr>
              <w:rPr>
                <w:lang w:val="en-GB"/>
              </w:rPr>
            </w:pPr>
            <w:r w:rsidRPr="007157A6">
              <w:rPr>
                <w:lang w:val="en-GB"/>
              </w:rPr>
              <w:t>Level of ambition</w:t>
            </w:r>
          </w:p>
        </w:tc>
        <w:tc>
          <w:tcPr>
            <w:tcW w:w="418" w:type="dxa"/>
          </w:tcPr>
          <w:p w14:paraId="0F5FA6FE" w14:textId="77777777" w:rsidR="007157A6" w:rsidRPr="007157A6" w:rsidRDefault="007157A6" w:rsidP="007157A6">
            <w:pPr>
              <w:rPr>
                <w:lang w:val="en-GB"/>
              </w:rPr>
            </w:pPr>
          </w:p>
        </w:tc>
        <w:tc>
          <w:tcPr>
            <w:tcW w:w="418" w:type="dxa"/>
          </w:tcPr>
          <w:p w14:paraId="63962561" w14:textId="77777777" w:rsidR="007157A6" w:rsidRPr="007157A6" w:rsidRDefault="007157A6" w:rsidP="007157A6">
            <w:pPr>
              <w:rPr>
                <w:lang w:val="en-GB"/>
              </w:rPr>
            </w:pPr>
          </w:p>
        </w:tc>
        <w:tc>
          <w:tcPr>
            <w:tcW w:w="418" w:type="dxa"/>
          </w:tcPr>
          <w:p w14:paraId="1224E28B" w14:textId="77777777" w:rsidR="007157A6" w:rsidRPr="007157A6" w:rsidRDefault="007157A6" w:rsidP="007157A6">
            <w:pPr>
              <w:rPr>
                <w:lang w:val="en-GB"/>
              </w:rPr>
            </w:pPr>
          </w:p>
        </w:tc>
        <w:tc>
          <w:tcPr>
            <w:tcW w:w="418" w:type="dxa"/>
          </w:tcPr>
          <w:p w14:paraId="2C139BFB" w14:textId="77777777" w:rsidR="007157A6" w:rsidRPr="007157A6" w:rsidRDefault="007157A6" w:rsidP="007157A6">
            <w:pPr>
              <w:rPr>
                <w:lang w:val="en-GB"/>
              </w:rPr>
            </w:pPr>
          </w:p>
        </w:tc>
        <w:tc>
          <w:tcPr>
            <w:tcW w:w="419" w:type="dxa"/>
          </w:tcPr>
          <w:p w14:paraId="0753A97B" w14:textId="77777777" w:rsidR="007157A6" w:rsidRPr="007157A6" w:rsidRDefault="007157A6" w:rsidP="007157A6">
            <w:pPr>
              <w:rPr>
                <w:lang w:val="en-GB"/>
              </w:rPr>
            </w:pPr>
          </w:p>
        </w:tc>
      </w:tr>
      <w:tr w:rsidR="007157A6" w:rsidRPr="007157A6" w14:paraId="7E3F2457" w14:textId="77777777" w:rsidTr="00C850ED">
        <w:tc>
          <w:tcPr>
            <w:tcW w:w="8642" w:type="dxa"/>
            <w:vMerge/>
          </w:tcPr>
          <w:p w14:paraId="2D7BDD3E" w14:textId="77777777" w:rsidR="007157A6" w:rsidRPr="007157A6" w:rsidRDefault="007157A6" w:rsidP="007157A6">
            <w:pPr>
              <w:rPr>
                <w:lang w:val="en-GB"/>
              </w:rPr>
            </w:pPr>
          </w:p>
        </w:tc>
        <w:tc>
          <w:tcPr>
            <w:tcW w:w="3544" w:type="dxa"/>
          </w:tcPr>
          <w:p w14:paraId="03E36C78" w14:textId="77777777" w:rsidR="007157A6" w:rsidRPr="007157A6" w:rsidRDefault="007157A6" w:rsidP="007157A6">
            <w:pPr>
              <w:rPr>
                <w:lang w:val="en-GB"/>
              </w:rPr>
            </w:pPr>
            <w:r w:rsidRPr="007157A6">
              <w:rPr>
                <w:lang w:val="en-GB"/>
              </w:rPr>
              <w:t>Practicability</w:t>
            </w:r>
          </w:p>
        </w:tc>
        <w:tc>
          <w:tcPr>
            <w:tcW w:w="418" w:type="dxa"/>
          </w:tcPr>
          <w:p w14:paraId="46C4DC02" w14:textId="77777777" w:rsidR="007157A6" w:rsidRPr="007157A6" w:rsidRDefault="007157A6" w:rsidP="007157A6">
            <w:pPr>
              <w:rPr>
                <w:lang w:val="en-GB"/>
              </w:rPr>
            </w:pPr>
          </w:p>
        </w:tc>
        <w:tc>
          <w:tcPr>
            <w:tcW w:w="418" w:type="dxa"/>
          </w:tcPr>
          <w:p w14:paraId="09391D36" w14:textId="77777777" w:rsidR="007157A6" w:rsidRPr="007157A6" w:rsidRDefault="007157A6" w:rsidP="007157A6">
            <w:pPr>
              <w:rPr>
                <w:lang w:val="en-GB"/>
              </w:rPr>
            </w:pPr>
          </w:p>
        </w:tc>
        <w:tc>
          <w:tcPr>
            <w:tcW w:w="418" w:type="dxa"/>
          </w:tcPr>
          <w:p w14:paraId="6F2243FB" w14:textId="77777777" w:rsidR="007157A6" w:rsidRPr="007157A6" w:rsidRDefault="007157A6" w:rsidP="007157A6">
            <w:pPr>
              <w:rPr>
                <w:lang w:val="en-GB"/>
              </w:rPr>
            </w:pPr>
          </w:p>
        </w:tc>
        <w:tc>
          <w:tcPr>
            <w:tcW w:w="418" w:type="dxa"/>
          </w:tcPr>
          <w:p w14:paraId="1096EA33" w14:textId="77777777" w:rsidR="007157A6" w:rsidRPr="007157A6" w:rsidRDefault="007157A6" w:rsidP="007157A6">
            <w:pPr>
              <w:rPr>
                <w:lang w:val="en-GB"/>
              </w:rPr>
            </w:pPr>
          </w:p>
        </w:tc>
        <w:tc>
          <w:tcPr>
            <w:tcW w:w="419" w:type="dxa"/>
          </w:tcPr>
          <w:p w14:paraId="08A35D4E" w14:textId="77777777" w:rsidR="007157A6" w:rsidRPr="007157A6" w:rsidRDefault="007157A6" w:rsidP="007157A6">
            <w:pPr>
              <w:rPr>
                <w:lang w:val="en-GB"/>
              </w:rPr>
            </w:pPr>
          </w:p>
        </w:tc>
      </w:tr>
      <w:tr w:rsidR="007157A6" w:rsidRPr="007157A6" w14:paraId="1FFBA41C" w14:textId="77777777" w:rsidTr="00C850ED">
        <w:tc>
          <w:tcPr>
            <w:tcW w:w="8642" w:type="dxa"/>
            <w:vMerge/>
          </w:tcPr>
          <w:p w14:paraId="576227D9" w14:textId="77777777" w:rsidR="007157A6" w:rsidRPr="007157A6" w:rsidRDefault="007157A6" w:rsidP="007157A6">
            <w:pPr>
              <w:rPr>
                <w:lang w:val="en-GB"/>
              </w:rPr>
            </w:pPr>
          </w:p>
        </w:tc>
        <w:tc>
          <w:tcPr>
            <w:tcW w:w="3544" w:type="dxa"/>
          </w:tcPr>
          <w:p w14:paraId="6B9F8E9D"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632F149E" w14:textId="77777777" w:rsidR="007157A6" w:rsidRPr="007157A6" w:rsidRDefault="007157A6" w:rsidP="007157A6">
            <w:pPr>
              <w:rPr>
                <w:lang w:val="en-GB"/>
              </w:rPr>
            </w:pPr>
          </w:p>
        </w:tc>
        <w:tc>
          <w:tcPr>
            <w:tcW w:w="418" w:type="dxa"/>
          </w:tcPr>
          <w:p w14:paraId="2036EDB5" w14:textId="77777777" w:rsidR="007157A6" w:rsidRPr="007157A6" w:rsidRDefault="007157A6" w:rsidP="007157A6">
            <w:pPr>
              <w:rPr>
                <w:lang w:val="en-GB"/>
              </w:rPr>
            </w:pPr>
          </w:p>
        </w:tc>
        <w:tc>
          <w:tcPr>
            <w:tcW w:w="418" w:type="dxa"/>
          </w:tcPr>
          <w:p w14:paraId="7649F957" w14:textId="77777777" w:rsidR="007157A6" w:rsidRPr="007157A6" w:rsidRDefault="007157A6" w:rsidP="007157A6">
            <w:pPr>
              <w:rPr>
                <w:lang w:val="en-GB"/>
              </w:rPr>
            </w:pPr>
          </w:p>
        </w:tc>
        <w:tc>
          <w:tcPr>
            <w:tcW w:w="418" w:type="dxa"/>
          </w:tcPr>
          <w:p w14:paraId="0EEF6E7A" w14:textId="77777777" w:rsidR="007157A6" w:rsidRPr="007157A6" w:rsidRDefault="007157A6" w:rsidP="007157A6">
            <w:pPr>
              <w:rPr>
                <w:lang w:val="en-GB"/>
              </w:rPr>
            </w:pPr>
          </w:p>
        </w:tc>
        <w:tc>
          <w:tcPr>
            <w:tcW w:w="419" w:type="dxa"/>
          </w:tcPr>
          <w:p w14:paraId="126DF924" w14:textId="77777777" w:rsidR="007157A6" w:rsidRPr="007157A6" w:rsidRDefault="007157A6" w:rsidP="007157A6">
            <w:pPr>
              <w:rPr>
                <w:lang w:val="en-GB"/>
              </w:rPr>
            </w:pPr>
          </w:p>
        </w:tc>
      </w:tr>
      <w:tr w:rsidR="007157A6" w:rsidRPr="007157A6" w14:paraId="5846CBE0" w14:textId="77777777" w:rsidTr="00C850ED">
        <w:tc>
          <w:tcPr>
            <w:tcW w:w="8642" w:type="dxa"/>
            <w:shd w:val="clear" w:color="auto" w:fill="D9D9D9" w:themeFill="background1" w:themeFillShade="D9"/>
          </w:tcPr>
          <w:p w14:paraId="13D38B55"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35950875"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31723C68"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6843BB3"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19F2F44F"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1893299B"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60AFEDE8" w14:textId="77777777" w:rsidR="007157A6" w:rsidRPr="007157A6" w:rsidRDefault="007157A6" w:rsidP="007157A6">
            <w:pPr>
              <w:rPr>
                <w:b/>
                <w:lang w:val="en-GB"/>
              </w:rPr>
            </w:pPr>
            <w:r w:rsidRPr="007157A6">
              <w:rPr>
                <w:b/>
                <w:lang w:val="en-GB"/>
              </w:rPr>
              <w:t>1</w:t>
            </w:r>
          </w:p>
        </w:tc>
      </w:tr>
      <w:tr w:rsidR="007157A6" w:rsidRPr="007157A6" w14:paraId="6451BCEB" w14:textId="77777777" w:rsidTr="00C850ED">
        <w:tc>
          <w:tcPr>
            <w:tcW w:w="8642" w:type="dxa"/>
            <w:vMerge w:val="restart"/>
          </w:tcPr>
          <w:p w14:paraId="2F082E1D" w14:textId="77777777" w:rsidR="007157A6" w:rsidRPr="007157A6" w:rsidRDefault="007157A6" w:rsidP="00717905">
            <w:pPr>
              <w:pBdr>
                <w:top w:val="nil"/>
                <w:left w:val="nil"/>
                <w:bottom w:val="nil"/>
                <w:right w:val="nil"/>
                <w:between w:val="nil"/>
                <w:bar w:val="nil"/>
              </w:pBdr>
              <w:rPr>
                <w:lang w:val="en-GB"/>
              </w:rPr>
            </w:pPr>
            <w:r w:rsidRPr="007157A6">
              <w:rPr>
                <w:rFonts w:ascii="Calibri" w:hAnsi="Calibri"/>
                <w:lang w:val="en-GB"/>
              </w:rPr>
              <w:t>In case of investments in the real property sector:</w:t>
            </w:r>
            <w:r w:rsidR="00717905">
              <w:rPr>
                <w:rFonts w:ascii="Calibri" w:hAnsi="Calibri"/>
                <w:lang w:val="en-GB"/>
              </w:rPr>
              <w:t xml:space="preserve"> </w:t>
            </w:r>
            <w:r w:rsidRPr="007157A6">
              <w:rPr>
                <w:lang w:val="en-GB"/>
              </w:rPr>
              <w:t>Germany’s central registry for energy consumption certificates is to be developed into a countrywide, electronic platform at the German Institute for Building Technology which may be accessed free of charge and paywalls (in anonymised fashion subject to compliance with the General Data Protection Regulation).</w:t>
            </w:r>
          </w:p>
        </w:tc>
        <w:tc>
          <w:tcPr>
            <w:tcW w:w="3544" w:type="dxa"/>
          </w:tcPr>
          <w:p w14:paraId="67DDCAED" w14:textId="77777777" w:rsidR="007157A6" w:rsidRPr="007157A6" w:rsidRDefault="007157A6" w:rsidP="007157A6">
            <w:pPr>
              <w:rPr>
                <w:lang w:val="en-GB"/>
              </w:rPr>
            </w:pPr>
            <w:r w:rsidRPr="007157A6">
              <w:rPr>
                <w:lang w:val="en-GB"/>
              </w:rPr>
              <w:t>Will foster Sustainable Finance in Germany</w:t>
            </w:r>
          </w:p>
        </w:tc>
        <w:tc>
          <w:tcPr>
            <w:tcW w:w="418" w:type="dxa"/>
          </w:tcPr>
          <w:p w14:paraId="42BECF5F" w14:textId="77777777" w:rsidR="007157A6" w:rsidRPr="007157A6" w:rsidRDefault="007157A6" w:rsidP="007157A6">
            <w:pPr>
              <w:rPr>
                <w:lang w:val="en-GB"/>
              </w:rPr>
            </w:pPr>
          </w:p>
        </w:tc>
        <w:tc>
          <w:tcPr>
            <w:tcW w:w="418" w:type="dxa"/>
          </w:tcPr>
          <w:p w14:paraId="2D265138" w14:textId="77777777" w:rsidR="007157A6" w:rsidRPr="007157A6" w:rsidRDefault="007157A6" w:rsidP="007157A6">
            <w:pPr>
              <w:rPr>
                <w:lang w:val="en-GB"/>
              </w:rPr>
            </w:pPr>
          </w:p>
        </w:tc>
        <w:tc>
          <w:tcPr>
            <w:tcW w:w="418" w:type="dxa"/>
          </w:tcPr>
          <w:p w14:paraId="3206A5CA" w14:textId="77777777" w:rsidR="007157A6" w:rsidRPr="007157A6" w:rsidRDefault="007157A6" w:rsidP="007157A6">
            <w:pPr>
              <w:rPr>
                <w:lang w:val="en-GB"/>
              </w:rPr>
            </w:pPr>
          </w:p>
        </w:tc>
        <w:tc>
          <w:tcPr>
            <w:tcW w:w="418" w:type="dxa"/>
          </w:tcPr>
          <w:p w14:paraId="4413050F" w14:textId="77777777" w:rsidR="007157A6" w:rsidRPr="007157A6" w:rsidRDefault="007157A6" w:rsidP="007157A6">
            <w:pPr>
              <w:rPr>
                <w:lang w:val="en-GB"/>
              </w:rPr>
            </w:pPr>
          </w:p>
        </w:tc>
        <w:tc>
          <w:tcPr>
            <w:tcW w:w="419" w:type="dxa"/>
          </w:tcPr>
          <w:p w14:paraId="28B5DFA6" w14:textId="77777777" w:rsidR="007157A6" w:rsidRPr="007157A6" w:rsidRDefault="007157A6" w:rsidP="007157A6">
            <w:pPr>
              <w:rPr>
                <w:lang w:val="en-GB"/>
              </w:rPr>
            </w:pPr>
          </w:p>
        </w:tc>
      </w:tr>
      <w:tr w:rsidR="007157A6" w:rsidRPr="007157A6" w14:paraId="777116AB" w14:textId="77777777" w:rsidTr="00C850ED">
        <w:tc>
          <w:tcPr>
            <w:tcW w:w="8642" w:type="dxa"/>
            <w:vMerge/>
          </w:tcPr>
          <w:p w14:paraId="2EC96681" w14:textId="77777777" w:rsidR="007157A6" w:rsidRPr="007157A6" w:rsidRDefault="007157A6" w:rsidP="00717905">
            <w:pPr>
              <w:rPr>
                <w:lang w:val="en-GB"/>
              </w:rPr>
            </w:pPr>
          </w:p>
        </w:tc>
        <w:tc>
          <w:tcPr>
            <w:tcW w:w="3544" w:type="dxa"/>
          </w:tcPr>
          <w:p w14:paraId="7F6E2240" w14:textId="77777777" w:rsidR="007157A6" w:rsidRPr="007157A6" w:rsidRDefault="007157A6" w:rsidP="007157A6">
            <w:pPr>
              <w:rPr>
                <w:lang w:val="en-GB"/>
              </w:rPr>
            </w:pPr>
            <w:r w:rsidRPr="007157A6">
              <w:rPr>
                <w:lang w:val="en-GB"/>
              </w:rPr>
              <w:t>Level of ambition</w:t>
            </w:r>
          </w:p>
        </w:tc>
        <w:tc>
          <w:tcPr>
            <w:tcW w:w="418" w:type="dxa"/>
          </w:tcPr>
          <w:p w14:paraId="3F24E4B7" w14:textId="77777777" w:rsidR="007157A6" w:rsidRPr="007157A6" w:rsidRDefault="007157A6" w:rsidP="007157A6">
            <w:pPr>
              <w:rPr>
                <w:lang w:val="en-GB"/>
              </w:rPr>
            </w:pPr>
          </w:p>
        </w:tc>
        <w:tc>
          <w:tcPr>
            <w:tcW w:w="418" w:type="dxa"/>
          </w:tcPr>
          <w:p w14:paraId="056716E0" w14:textId="77777777" w:rsidR="007157A6" w:rsidRPr="007157A6" w:rsidRDefault="007157A6" w:rsidP="007157A6">
            <w:pPr>
              <w:rPr>
                <w:lang w:val="en-GB"/>
              </w:rPr>
            </w:pPr>
          </w:p>
        </w:tc>
        <w:tc>
          <w:tcPr>
            <w:tcW w:w="418" w:type="dxa"/>
          </w:tcPr>
          <w:p w14:paraId="5EE55369" w14:textId="77777777" w:rsidR="007157A6" w:rsidRPr="007157A6" w:rsidRDefault="007157A6" w:rsidP="007157A6">
            <w:pPr>
              <w:rPr>
                <w:lang w:val="en-GB"/>
              </w:rPr>
            </w:pPr>
          </w:p>
        </w:tc>
        <w:tc>
          <w:tcPr>
            <w:tcW w:w="418" w:type="dxa"/>
          </w:tcPr>
          <w:p w14:paraId="1EBDBA4A" w14:textId="77777777" w:rsidR="007157A6" w:rsidRPr="007157A6" w:rsidRDefault="007157A6" w:rsidP="007157A6">
            <w:pPr>
              <w:rPr>
                <w:lang w:val="en-GB"/>
              </w:rPr>
            </w:pPr>
          </w:p>
        </w:tc>
        <w:tc>
          <w:tcPr>
            <w:tcW w:w="419" w:type="dxa"/>
          </w:tcPr>
          <w:p w14:paraId="6FA065DF" w14:textId="77777777" w:rsidR="007157A6" w:rsidRPr="007157A6" w:rsidRDefault="007157A6" w:rsidP="007157A6">
            <w:pPr>
              <w:rPr>
                <w:lang w:val="en-GB"/>
              </w:rPr>
            </w:pPr>
          </w:p>
        </w:tc>
      </w:tr>
      <w:tr w:rsidR="007157A6" w:rsidRPr="007157A6" w14:paraId="0BF1BEFD" w14:textId="77777777" w:rsidTr="00C850ED">
        <w:tc>
          <w:tcPr>
            <w:tcW w:w="8642" w:type="dxa"/>
            <w:vMerge/>
          </w:tcPr>
          <w:p w14:paraId="487F854C" w14:textId="77777777" w:rsidR="007157A6" w:rsidRPr="007157A6" w:rsidRDefault="007157A6" w:rsidP="00717905">
            <w:pPr>
              <w:rPr>
                <w:lang w:val="en-GB"/>
              </w:rPr>
            </w:pPr>
          </w:p>
        </w:tc>
        <w:tc>
          <w:tcPr>
            <w:tcW w:w="3544" w:type="dxa"/>
          </w:tcPr>
          <w:p w14:paraId="5F299318" w14:textId="77777777" w:rsidR="007157A6" w:rsidRPr="007157A6" w:rsidRDefault="007157A6" w:rsidP="007157A6">
            <w:pPr>
              <w:rPr>
                <w:lang w:val="en-GB"/>
              </w:rPr>
            </w:pPr>
            <w:r w:rsidRPr="007157A6">
              <w:rPr>
                <w:lang w:val="en-GB"/>
              </w:rPr>
              <w:t>Practicability</w:t>
            </w:r>
          </w:p>
        </w:tc>
        <w:tc>
          <w:tcPr>
            <w:tcW w:w="418" w:type="dxa"/>
          </w:tcPr>
          <w:p w14:paraId="58FCDB6E" w14:textId="77777777" w:rsidR="007157A6" w:rsidRPr="007157A6" w:rsidRDefault="007157A6" w:rsidP="007157A6">
            <w:pPr>
              <w:rPr>
                <w:lang w:val="en-GB"/>
              </w:rPr>
            </w:pPr>
          </w:p>
        </w:tc>
        <w:tc>
          <w:tcPr>
            <w:tcW w:w="418" w:type="dxa"/>
          </w:tcPr>
          <w:p w14:paraId="777AF163" w14:textId="77777777" w:rsidR="007157A6" w:rsidRPr="007157A6" w:rsidRDefault="007157A6" w:rsidP="007157A6">
            <w:pPr>
              <w:rPr>
                <w:lang w:val="en-GB"/>
              </w:rPr>
            </w:pPr>
          </w:p>
        </w:tc>
        <w:tc>
          <w:tcPr>
            <w:tcW w:w="418" w:type="dxa"/>
          </w:tcPr>
          <w:p w14:paraId="428B486B" w14:textId="77777777" w:rsidR="007157A6" w:rsidRPr="007157A6" w:rsidRDefault="007157A6" w:rsidP="007157A6">
            <w:pPr>
              <w:rPr>
                <w:lang w:val="en-GB"/>
              </w:rPr>
            </w:pPr>
          </w:p>
        </w:tc>
        <w:tc>
          <w:tcPr>
            <w:tcW w:w="418" w:type="dxa"/>
          </w:tcPr>
          <w:p w14:paraId="7466089C" w14:textId="77777777" w:rsidR="007157A6" w:rsidRPr="007157A6" w:rsidRDefault="007157A6" w:rsidP="007157A6">
            <w:pPr>
              <w:rPr>
                <w:lang w:val="en-GB"/>
              </w:rPr>
            </w:pPr>
          </w:p>
        </w:tc>
        <w:tc>
          <w:tcPr>
            <w:tcW w:w="419" w:type="dxa"/>
          </w:tcPr>
          <w:p w14:paraId="09653D6A" w14:textId="77777777" w:rsidR="007157A6" w:rsidRPr="007157A6" w:rsidRDefault="007157A6" w:rsidP="007157A6">
            <w:pPr>
              <w:rPr>
                <w:lang w:val="en-GB"/>
              </w:rPr>
            </w:pPr>
          </w:p>
        </w:tc>
      </w:tr>
      <w:tr w:rsidR="007157A6" w:rsidRPr="007157A6" w14:paraId="53D480E8" w14:textId="77777777" w:rsidTr="00C850ED">
        <w:tc>
          <w:tcPr>
            <w:tcW w:w="8642" w:type="dxa"/>
            <w:vMerge/>
          </w:tcPr>
          <w:p w14:paraId="54389B38" w14:textId="77777777" w:rsidR="007157A6" w:rsidRPr="007157A6" w:rsidRDefault="007157A6" w:rsidP="00717905">
            <w:pPr>
              <w:rPr>
                <w:lang w:val="en-GB"/>
              </w:rPr>
            </w:pPr>
          </w:p>
        </w:tc>
        <w:tc>
          <w:tcPr>
            <w:tcW w:w="3544" w:type="dxa"/>
          </w:tcPr>
          <w:p w14:paraId="1AA78CBC"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8CED686" w14:textId="77777777" w:rsidR="007157A6" w:rsidRPr="007157A6" w:rsidRDefault="007157A6" w:rsidP="007157A6">
            <w:pPr>
              <w:rPr>
                <w:lang w:val="en-GB"/>
              </w:rPr>
            </w:pPr>
          </w:p>
        </w:tc>
        <w:tc>
          <w:tcPr>
            <w:tcW w:w="418" w:type="dxa"/>
          </w:tcPr>
          <w:p w14:paraId="22089E6F" w14:textId="77777777" w:rsidR="007157A6" w:rsidRPr="007157A6" w:rsidRDefault="007157A6" w:rsidP="007157A6">
            <w:pPr>
              <w:rPr>
                <w:lang w:val="en-GB"/>
              </w:rPr>
            </w:pPr>
          </w:p>
        </w:tc>
        <w:tc>
          <w:tcPr>
            <w:tcW w:w="418" w:type="dxa"/>
          </w:tcPr>
          <w:p w14:paraId="3FB2D44D" w14:textId="77777777" w:rsidR="007157A6" w:rsidRPr="007157A6" w:rsidRDefault="007157A6" w:rsidP="007157A6">
            <w:pPr>
              <w:rPr>
                <w:lang w:val="en-GB"/>
              </w:rPr>
            </w:pPr>
          </w:p>
        </w:tc>
        <w:tc>
          <w:tcPr>
            <w:tcW w:w="418" w:type="dxa"/>
          </w:tcPr>
          <w:p w14:paraId="4A876EDB" w14:textId="77777777" w:rsidR="007157A6" w:rsidRPr="007157A6" w:rsidRDefault="007157A6" w:rsidP="007157A6">
            <w:pPr>
              <w:rPr>
                <w:lang w:val="en-GB"/>
              </w:rPr>
            </w:pPr>
          </w:p>
        </w:tc>
        <w:tc>
          <w:tcPr>
            <w:tcW w:w="419" w:type="dxa"/>
          </w:tcPr>
          <w:p w14:paraId="48B49C14" w14:textId="77777777" w:rsidR="007157A6" w:rsidRPr="007157A6" w:rsidRDefault="007157A6" w:rsidP="007157A6">
            <w:pPr>
              <w:rPr>
                <w:lang w:val="en-GB"/>
              </w:rPr>
            </w:pPr>
          </w:p>
        </w:tc>
      </w:tr>
      <w:tr w:rsidR="007157A6" w:rsidRPr="007157A6" w14:paraId="2E11FDBA" w14:textId="77777777" w:rsidTr="00C850ED">
        <w:tc>
          <w:tcPr>
            <w:tcW w:w="8642" w:type="dxa"/>
            <w:shd w:val="clear" w:color="auto" w:fill="D9D9D9" w:themeFill="background1" w:themeFillShade="D9"/>
          </w:tcPr>
          <w:p w14:paraId="1A6235BA" w14:textId="77777777" w:rsidR="007157A6" w:rsidRPr="007157A6" w:rsidRDefault="007157A6" w:rsidP="00717905">
            <w:pPr>
              <w:rPr>
                <w:lang w:val="en-GB"/>
              </w:rPr>
            </w:pPr>
            <w:r w:rsidRPr="007157A6">
              <w:rPr>
                <w:b/>
                <w:lang w:val="en-GB"/>
              </w:rPr>
              <w:t>Approach to action</w:t>
            </w:r>
          </w:p>
        </w:tc>
        <w:tc>
          <w:tcPr>
            <w:tcW w:w="3544" w:type="dxa"/>
            <w:shd w:val="clear" w:color="auto" w:fill="D9D9D9" w:themeFill="background1" w:themeFillShade="D9"/>
          </w:tcPr>
          <w:p w14:paraId="44B3D432"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41E061C6"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5813BA13"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07D6603E"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4636EF3C"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448499ED" w14:textId="77777777" w:rsidR="007157A6" w:rsidRPr="007157A6" w:rsidRDefault="007157A6" w:rsidP="007157A6">
            <w:pPr>
              <w:rPr>
                <w:lang w:val="en-GB"/>
              </w:rPr>
            </w:pPr>
            <w:r w:rsidRPr="007157A6">
              <w:rPr>
                <w:b/>
                <w:lang w:val="en-GB"/>
              </w:rPr>
              <w:t>1</w:t>
            </w:r>
          </w:p>
        </w:tc>
      </w:tr>
      <w:tr w:rsidR="007157A6" w:rsidRPr="007157A6" w14:paraId="38E29688" w14:textId="77777777" w:rsidTr="00C850ED">
        <w:tc>
          <w:tcPr>
            <w:tcW w:w="8642" w:type="dxa"/>
            <w:vMerge w:val="restart"/>
          </w:tcPr>
          <w:p w14:paraId="033FA03E" w14:textId="77777777" w:rsidR="007157A6" w:rsidRPr="007157A6" w:rsidRDefault="007157A6" w:rsidP="00717905">
            <w:pPr>
              <w:pBdr>
                <w:top w:val="nil"/>
                <w:left w:val="nil"/>
                <w:bottom w:val="nil"/>
                <w:right w:val="nil"/>
                <w:between w:val="nil"/>
                <w:bar w:val="nil"/>
              </w:pBdr>
              <w:rPr>
                <w:lang w:val="en-GB"/>
              </w:rPr>
            </w:pPr>
            <w:r w:rsidRPr="007157A6">
              <w:rPr>
                <w:rFonts w:ascii="Calibri" w:hAnsi="Calibri"/>
                <w:lang w:val="en-GB"/>
              </w:rPr>
              <w:t>In case of investments in the real property sector:</w:t>
            </w:r>
            <w:r w:rsidR="00717905">
              <w:rPr>
                <w:rFonts w:ascii="Calibri" w:hAnsi="Calibri"/>
                <w:lang w:val="en-GB"/>
              </w:rPr>
              <w:t xml:space="preserve"> </w:t>
            </w:r>
            <w:r w:rsidRPr="007157A6">
              <w:rPr>
                <w:lang w:val="en-GB"/>
              </w:rPr>
              <w:t>Both the German federal government and the German states are called upon to make the analysis of their support programmes available in structured form, so that banks can increasingly broaden both their advisory services and product design based on these findings to include energy performance improvement (e.g. what kinds of renovation work in what kind of building and region had what kind of impact on energy consumption).</w:t>
            </w:r>
          </w:p>
        </w:tc>
        <w:tc>
          <w:tcPr>
            <w:tcW w:w="3544" w:type="dxa"/>
          </w:tcPr>
          <w:p w14:paraId="3AF30B91" w14:textId="77777777" w:rsidR="007157A6" w:rsidRPr="007157A6" w:rsidRDefault="007157A6" w:rsidP="007157A6">
            <w:pPr>
              <w:rPr>
                <w:lang w:val="en-GB"/>
              </w:rPr>
            </w:pPr>
            <w:r w:rsidRPr="007157A6">
              <w:rPr>
                <w:lang w:val="en-GB"/>
              </w:rPr>
              <w:t>Will foster Sustainable Finance in Germany</w:t>
            </w:r>
          </w:p>
        </w:tc>
        <w:tc>
          <w:tcPr>
            <w:tcW w:w="418" w:type="dxa"/>
          </w:tcPr>
          <w:p w14:paraId="190F977E" w14:textId="77777777" w:rsidR="007157A6" w:rsidRPr="007157A6" w:rsidRDefault="007157A6" w:rsidP="007157A6">
            <w:pPr>
              <w:rPr>
                <w:lang w:val="en-GB"/>
              </w:rPr>
            </w:pPr>
          </w:p>
        </w:tc>
        <w:tc>
          <w:tcPr>
            <w:tcW w:w="418" w:type="dxa"/>
          </w:tcPr>
          <w:p w14:paraId="063370C7" w14:textId="77777777" w:rsidR="007157A6" w:rsidRPr="007157A6" w:rsidRDefault="007157A6" w:rsidP="007157A6">
            <w:pPr>
              <w:rPr>
                <w:lang w:val="en-GB"/>
              </w:rPr>
            </w:pPr>
          </w:p>
        </w:tc>
        <w:tc>
          <w:tcPr>
            <w:tcW w:w="418" w:type="dxa"/>
          </w:tcPr>
          <w:p w14:paraId="7E7A3803" w14:textId="77777777" w:rsidR="007157A6" w:rsidRPr="007157A6" w:rsidRDefault="007157A6" w:rsidP="007157A6">
            <w:pPr>
              <w:rPr>
                <w:lang w:val="en-GB"/>
              </w:rPr>
            </w:pPr>
          </w:p>
        </w:tc>
        <w:tc>
          <w:tcPr>
            <w:tcW w:w="418" w:type="dxa"/>
          </w:tcPr>
          <w:p w14:paraId="31C3D45C" w14:textId="77777777" w:rsidR="007157A6" w:rsidRPr="007157A6" w:rsidRDefault="007157A6" w:rsidP="007157A6">
            <w:pPr>
              <w:rPr>
                <w:lang w:val="en-GB"/>
              </w:rPr>
            </w:pPr>
          </w:p>
        </w:tc>
        <w:tc>
          <w:tcPr>
            <w:tcW w:w="419" w:type="dxa"/>
          </w:tcPr>
          <w:p w14:paraId="40B69E45" w14:textId="77777777" w:rsidR="007157A6" w:rsidRPr="007157A6" w:rsidRDefault="007157A6" w:rsidP="007157A6">
            <w:pPr>
              <w:rPr>
                <w:lang w:val="en-GB"/>
              </w:rPr>
            </w:pPr>
          </w:p>
        </w:tc>
      </w:tr>
      <w:tr w:rsidR="007157A6" w:rsidRPr="007157A6" w14:paraId="78B6EF57" w14:textId="77777777" w:rsidTr="00C850ED">
        <w:tc>
          <w:tcPr>
            <w:tcW w:w="8642" w:type="dxa"/>
            <w:vMerge/>
          </w:tcPr>
          <w:p w14:paraId="67B5B499" w14:textId="77777777" w:rsidR="007157A6" w:rsidRPr="007157A6" w:rsidRDefault="007157A6" w:rsidP="007157A6">
            <w:pPr>
              <w:rPr>
                <w:lang w:val="en-GB"/>
              </w:rPr>
            </w:pPr>
          </w:p>
        </w:tc>
        <w:tc>
          <w:tcPr>
            <w:tcW w:w="3544" w:type="dxa"/>
          </w:tcPr>
          <w:p w14:paraId="40DE3F94" w14:textId="77777777" w:rsidR="007157A6" w:rsidRPr="007157A6" w:rsidRDefault="007157A6" w:rsidP="007157A6">
            <w:pPr>
              <w:rPr>
                <w:lang w:val="en-GB"/>
              </w:rPr>
            </w:pPr>
            <w:r w:rsidRPr="007157A6">
              <w:rPr>
                <w:lang w:val="en-GB"/>
              </w:rPr>
              <w:t>Level of ambition</w:t>
            </w:r>
          </w:p>
        </w:tc>
        <w:tc>
          <w:tcPr>
            <w:tcW w:w="418" w:type="dxa"/>
          </w:tcPr>
          <w:p w14:paraId="2939DD1F" w14:textId="77777777" w:rsidR="007157A6" w:rsidRPr="007157A6" w:rsidRDefault="007157A6" w:rsidP="007157A6">
            <w:pPr>
              <w:rPr>
                <w:lang w:val="en-GB"/>
              </w:rPr>
            </w:pPr>
          </w:p>
        </w:tc>
        <w:tc>
          <w:tcPr>
            <w:tcW w:w="418" w:type="dxa"/>
          </w:tcPr>
          <w:p w14:paraId="2BE4A543" w14:textId="77777777" w:rsidR="007157A6" w:rsidRPr="007157A6" w:rsidRDefault="007157A6" w:rsidP="007157A6">
            <w:pPr>
              <w:rPr>
                <w:lang w:val="en-GB"/>
              </w:rPr>
            </w:pPr>
          </w:p>
        </w:tc>
        <w:tc>
          <w:tcPr>
            <w:tcW w:w="418" w:type="dxa"/>
          </w:tcPr>
          <w:p w14:paraId="7DA4BB40" w14:textId="77777777" w:rsidR="007157A6" w:rsidRPr="007157A6" w:rsidRDefault="007157A6" w:rsidP="007157A6">
            <w:pPr>
              <w:rPr>
                <w:lang w:val="en-GB"/>
              </w:rPr>
            </w:pPr>
          </w:p>
        </w:tc>
        <w:tc>
          <w:tcPr>
            <w:tcW w:w="418" w:type="dxa"/>
          </w:tcPr>
          <w:p w14:paraId="33B08421" w14:textId="77777777" w:rsidR="007157A6" w:rsidRPr="007157A6" w:rsidRDefault="007157A6" w:rsidP="007157A6">
            <w:pPr>
              <w:rPr>
                <w:lang w:val="en-GB"/>
              </w:rPr>
            </w:pPr>
          </w:p>
        </w:tc>
        <w:tc>
          <w:tcPr>
            <w:tcW w:w="419" w:type="dxa"/>
          </w:tcPr>
          <w:p w14:paraId="15C9C5D3" w14:textId="77777777" w:rsidR="007157A6" w:rsidRPr="007157A6" w:rsidRDefault="007157A6" w:rsidP="007157A6">
            <w:pPr>
              <w:rPr>
                <w:lang w:val="en-GB"/>
              </w:rPr>
            </w:pPr>
          </w:p>
        </w:tc>
      </w:tr>
      <w:tr w:rsidR="007157A6" w:rsidRPr="007157A6" w14:paraId="0DFA3F7A" w14:textId="77777777" w:rsidTr="00C850ED">
        <w:tc>
          <w:tcPr>
            <w:tcW w:w="8642" w:type="dxa"/>
            <w:vMerge/>
          </w:tcPr>
          <w:p w14:paraId="1D08C595" w14:textId="77777777" w:rsidR="007157A6" w:rsidRPr="007157A6" w:rsidRDefault="007157A6" w:rsidP="007157A6">
            <w:pPr>
              <w:rPr>
                <w:lang w:val="en-GB"/>
              </w:rPr>
            </w:pPr>
          </w:p>
        </w:tc>
        <w:tc>
          <w:tcPr>
            <w:tcW w:w="3544" w:type="dxa"/>
          </w:tcPr>
          <w:p w14:paraId="7490AB09" w14:textId="77777777" w:rsidR="007157A6" w:rsidRPr="007157A6" w:rsidRDefault="007157A6" w:rsidP="007157A6">
            <w:pPr>
              <w:rPr>
                <w:lang w:val="en-GB"/>
              </w:rPr>
            </w:pPr>
            <w:r w:rsidRPr="007157A6">
              <w:rPr>
                <w:lang w:val="en-GB"/>
              </w:rPr>
              <w:t>Practicability</w:t>
            </w:r>
          </w:p>
        </w:tc>
        <w:tc>
          <w:tcPr>
            <w:tcW w:w="418" w:type="dxa"/>
          </w:tcPr>
          <w:p w14:paraId="6CFE642A" w14:textId="77777777" w:rsidR="007157A6" w:rsidRPr="007157A6" w:rsidRDefault="007157A6" w:rsidP="007157A6">
            <w:pPr>
              <w:rPr>
                <w:lang w:val="en-GB"/>
              </w:rPr>
            </w:pPr>
          </w:p>
        </w:tc>
        <w:tc>
          <w:tcPr>
            <w:tcW w:w="418" w:type="dxa"/>
          </w:tcPr>
          <w:p w14:paraId="76558EAC" w14:textId="77777777" w:rsidR="007157A6" w:rsidRPr="007157A6" w:rsidRDefault="007157A6" w:rsidP="007157A6">
            <w:pPr>
              <w:rPr>
                <w:lang w:val="en-GB"/>
              </w:rPr>
            </w:pPr>
          </w:p>
        </w:tc>
        <w:tc>
          <w:tcPr>
            <w:tcW w:w="418" w:type="dxa"/>
          </w:tcPr>
          <w:p w14:paraId="4B4F6095" w14:textId="77777777" w:rsidR="007157A6" w:rsidRPr="007157A6" w:rsidRDefault="007157A6" w:rsidP="007157A6">
            <w:pPr>
              <w:rPr>
                <w:lang w:val="en-GB"/>
              </w:rPr>
            </w:pPr>
          </w:p>
        </w:tc>
        <w:tc>
          <w:tcPr>
            <w:tcW w:w="418" w:type="dxa"/>
          </w:tcPr>
          <w:p w14:paraId="3F3916F6" w14:textId="77777777" w:rsidR="007157A6" w:rsidRPr="007157A6" w:rsidRDefault="007157A6" w:rsidP="007157A6">
            <w:pPr>
              <w:rPr>
                <w:lang w:val="en-GB"/>
              </w:rPr>
            </w:pPr>
          </w:p>
        </w:tc>
        <w:tc>
          <w:tcPr>
            <w:tcW w:w="419" w:type="dxa"/>
          </w:tcPr>
          <w:p w14:paraId="0C32A540" w14:textId="77777777" w:rsidR="007157A6" w:rsidRPr="007157A6" w:rsidRDefault="007157A6" w:rsidP="007157A6">
            <w:pPr>
              <w:rPr>
                <w:lang w:val="en-GB"/>
              </w:rPr>
            </w:pPr>
          </w:p>
        </w:tc>
      </w:tr>
      <w:tr w:rsidR="007157A6" w:rsidRPr="007157A6" w14:paraId="669E264A" w14:textId="77777777" w:rsidTr="00C850ED">
        <w:tc>
          <w:tcPr>
            <w:tcW w:w="8642" w:type="dxa"/>
            <w:vMerge/>
          </w:tcPr>
          <w:p w14:paraId="5461D9C6" w14:textId="77777777" w:rsidR="007157A6" w:rsidRPr="007157A6" w:rsidRDefault="007157A6" w:rsidP="007157A6">
            <w:pPr>
              <w:rPr>
                <w:lang w:val="en-GB"/>
              </w:rPr>
            </w:pPr>
          </w:p>
        </w:tc>
        <w:tc>
          <w:tcPr>
            <w:tcW w:w="3544" w:type="dxa"/>
          </w:tcPr>
          <w:p w14:paraId="48EC7272"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31EF605F" w14:textId="77777777" w:rsidR="007157A6" w:rsidRPr="007157A6" w:rsidRDefault="007157A6" w:rsidP="007157A6">
            <w:pPr>
              <w:rPr>
                <w:lang w:val="en-GB"/>
              </w:rPr>
            </w:pPr>
          </w:p>
        </w:tc>
        <w:tc>
          <w:tcPr>
            <w:tcW w:w="418" w:type="dxa"/>
          </w:tcPr>
          <w:p w14:paraId="4750F800" w14:textId="77777777" w:rsidR="007157A6" w:rsidRPr="007157A6" w:rsidRDefault="007157A6" w:rsidP="007157A6">
            <w:pPr>
              <w:rPr>
                <w:lang w:val="en-GB"/>
              </w:rPr>
            </w:pPr>
          </w:p>
        </w:tc>
        <w:tc>
          <w:tcPr>
            <w:tcW w:w="418" w:type="dxa"/>
          </w:tcPr>
          <w:p w14:paraId="0846E987" w14:textId="77777777" w:rsidR="007157A6" w:rsidRPr="007157A6" w:rsidRDefault="007157A6" w:rsidP="007157A6">
            <w:pPr>
              <w:rPr>
                <w:lang w:val="en-GB"/>
              </w:rPr>
            </w:pPr>
          </w:p>
        </w:tc>
        <w:tc>
          <w:tcPr>
            <w:tcW w:w="418" w:type="dxa"/>
          </w:tcPr>
          <w:p w14:paraId="23798522" w14:textId="77777777" w:rsidR="007157A6" w:rsidRPr="007157A6" w:rsidRDefault="007157A6" w:rsidP="007157A6">
            <w:pPr>
              <w:rPr>
                <w:lang w:val="en-GB"/>
              </w:rPr>
            </w:pPr>
          </w:p>
        </w:tc>
        <w:tc>
          <w:tcPr>
            <w:tcW w:w="419" w:type="dxa"/>
          </w:tcPr>
          <w:p w14:paraId="07F53FD3" w14:textId="77777777" w:rsidR="007157A6" w:rsidRPr="007157A6" w:rsidRDefault="007157A6" w:rsidP="007157A6">
            <w:pPr>
              <w:rPr>
                <w:lang w:val="en-GB"/>
              </w:rPr>
            </w:pPr>
          </w:p>
        </w:tc>
      </w:tr>
      <w:tr w:rsidR="007157A6" w:rsidRPr="007157A6" w14:paraId="13FD4A5C" w14:textId="77777777" w:rsidTr="00C850ED">
        <w:tc>
          <w:tcPr>
            <w:tcW w:w="8642" w:type="dxa"/>
            <w:shd w:val="clear" w:color="auto" w:fill="D9D9D9" w:themeFill="background1" w:themeFillShade="D9"/>
          </w:tcPr>
          <w:p w14:paraId="5C2FDE44" w14:textId="77777777" w:rsidR="007157A6" w:rsidRPr="007157A6" w:rsidRDefault="007157A6" w:rsidP="007157A6">
            <w:pPr>
              <w:rPr>
                <w:lang w:val="en-GB"/>
              </w:rPr>
            </w:pPr>
            <w:r w:rsidRPr="007157A6">
              <w:rPr>
                <w:b/>
                <w:lang w:val="en-GB"/>
              </w:rPr>
              <w:lastRenderedPageBreak/>
              <w:t>Approach to action</w:t>
            </w:r>
          </w:p>
        </w:tc>
        <w:tc>
          <w:tcPr>
            <w:tcW w:w="3544" w:type="dxa"/>
            <w:shd w:val="clear" w:color="auto" w:fill="D9D9D9" w:themeFill="background1" w:themeFillShade="D9"/>
          </w:tcPr>
          <w:p w14:paraId="336EBA6F"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39F30519"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3B176294"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0B2DA115"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708969E2"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62AFF956" w14:textId="77777777" w:rsidR="007157A6" w:rsidRPr="007157A6" w:rsidRDefault="007157A6" w:rsidP="007157A6">
            <w:pPr>
              <w:rPr>
                <w:lang w:val="en-GB"/>
              </w:rPr>
            </w:pPr>
            <w:r w:rsidRPr="007157A6">
              <w:rPr>
                <w:b/>
                <w:lang w:val="en-GB"/>
              </w:rPr>
              <w:t>1</w:t>
            </w:r>
          </w:p>
        </w:tc>
      </w:tr>
      <w:tr w:rsidR="007157A6" w:rsidRPr="007157A6" w14:paraId="23157EED" w14:textId="77777777" w:rsidTr="00C850ED">
        <w:trPr>
          <w:trHeight w:val="537"/>
        </w:trPr>
        <w:tc>
          <w:tcPr>
            <w:tcW w:w="8642" w:type="dxa"/>
            <w:vMerge w:val="restart"/>
          </w:tcPr>
          <w:p w14:paraId="771A7765" w14:textId="77777777" w:rsidR="007157A6" w:rsidRPr="007157A6" w:rsidRDefault="007157A6" w:rsidP="00717905">
            <w:pPr>
              <w:pBdr>
                <w:top w:val="nil"/>
                <w:left w:val="nil"/>
                <w:bottom w:val="nil"/>
                <w:right w:val="nil"/>
                <w:between w:val="nil"/>
                <w:bar w:val="nil"/>
              </w:pBdr>
              <w:rPr>
                <w:lang w:val="en-GB"/>
              </w:rPr>
            </w:pPr>
            <w:r w:rsidRPr="007157A6">
              <w:rPr>
                <w:rFonts w:ascii="Calibri" w:hAnsi="Calibri"/>
                <w:lang w:val="en-GB"/>
              </w:rPr>
              <w:t>In case of investments in the real property sector:</w:t>
            </w:r>
            <w:r w:rsidR="00717905">
              <w:rPr>
                <w:rFonts w:ascii="Calibri" w:hAnsi="Calibri"/>
                <w:lang w:val="en-GB"/>
              </w:rPr>
              <w:t xml:space="preserve"> </w:t>
            </w:r>
            <w:r w:rsidRPr="007157A6">
              <w:rPr>
                <w:lang w:val="en-GB"/>
              </w:rPr>
              <w:t xml:space="preserve">The Bundesbank’s collection of loan data on residential properties should be improved. Given that an expanded reporting system is planned at the EU level in connection with the </w:t>
            </w:r>
            <w:proofErr w:type="spellStart"/>
            <w:r w:rsidRPr="007157A6">
              <w:rPr>
                <w:lang w:val="en-GB"/>
              </w:rPr>
              <w:t>AnaCredit</w:t>
            </w:r>
            <w:proofErr w:type="spellEnd"/>
            <w:r w:rsidRPr="007157A6">
              <w:rPr>
                <w:lang w:val="en-GB"/>
              </w:rPr>
              <w:t xml:space="preserve"> database, the data should be harmonised EU wide in the form of a unified database for energy consumption certificates and real property transactions. At minimum, this must involve integrating parameters such as the energy efficiency class in order to be able to collect data on developments over time and thus on the effect.</w:t>
            </w:r>
          </w:p>
        </w:tc>
        <w:tc>
          <w:tcPr>
            <w:tcW w:w="3544" w:type="dxa"/>
          </w:tcPr>
          <w:p w14:paraId="4D6364F0" w14:textId="77777777" w:rsidR="007157A6" w:rsidRPr="007157A6" w:rsidRDefault="007157A6" w:rsidP="007157A6">
            <w:pPr>
              <w:rPr>
                <w:lang w:val="en-GB"/>
              </w:rPr>
            </w:pPr>
            <w:r w:rsidRPr="007157A6">
              <w:rPr>
                <w:lang w:val="en-GB"/>
              </w:rPr>
              <w:t>Will foster Sustainable Finance in Germany</w:t>
            </w:r>
          </w:p>
        </w:tc>
        <w:tc>
          <w:tcPr>
            <w:tcW w:w="418" w:type="dxa"/>
          </w:tcPr>
          <w:p w14:paraId="79241FC7" w14:textId="77777777" w:rsidR="007157A6" w:rsidRPr="007157A6" w:rsidRDefault="007157A6" w:rsidP="007157A6">
            <w:pPr>
              <w:rPr>
                <w:lang w:val="en-GB"/>
              </w:rPr>
            </w:pPr>
          </w:p>
        </w:tc>
        <w:tc>
          <w:tcPr>
            <w:tcW w:w="418" w:type="dxa"/>
          </w:tcPr>
          <w:p w14:paraId="79E41844" w14:textId="77777777" w:rsidR="007157A6" w:rsidRPr="007157A6" w:rsidRDefault="007157A6" w:rsidP="007157A6">
            <w:pPr>
              <w:rPr>
                <w:lang w:val="en-GB"/>
              </w:rPr>
            </w:pPr>
          </w:p>
        </w:tc>
        <w:tc>
          <w:tcPr>
            <w:tcW w:w="418" w:type="dxa"/>
          </w:tcPr>
          <w:p w14:paraId="3E83D606" w14:textId="77777777" w:rsidR="007157A6" w:rsidRPr="007157A6" w:rsidRDefault="007157A6" w:rsidP="007157A6">
            <w:pPr>
              <w:rPr>
                <w:lang w:val="en-GB"/>
              </w:rPr>
            </w:pPr>
          </w:p>
        </w:tc>
        <w:tc>
          <w:tcPr>
            <w:tcW w:w="418" w:type="dxa"/>
          </w:tcPr>
          <w:p w14:paraId="62B67E9E" w14:textId="77777777" w:rsidR="007157A6" w:rsidRPr="007157A6" w:rsidRDefault="007157A6" w:rsidP="007157A6">
            <w:pPr>
              <w:rPr>
                <w:lang w:val="en-GB"/>
              </w:rPr>
            </w:pPr>
          </w:p>
        </w:tc>
        <w:tc>
          <w:tcPr>
            <w:tcW w:w="419" w:type="dxa"/>
          </w:tcPr>
          <w:p w14:paraId="0E245675" w14:textId="77777777" w:rsidR="007157A6" w:rsidRPr="007157A6" w:rsidRDefault="007157A6" w:rsidP="007157A6">
            <w:pPr>
              <w:rPr>
                <w:lang w:val="en-GB"/>
              </w:rPr>
            </w:pPr>
          </w:p>
        </w:tc>
      </w:tr>
      <w:tr w:rsidR="007157A6" w:rsidRPr="007157A6" w14:paraId="35FAD224" w14:textId="77777777" w:rsidTr="00C850ED">
        <w:trPr>
          <w:trHeight w:val="537"/>
        </w:trPr>
        <w:tc>
          <w:tcPr>
            <w:tcW w:w="8642" w:type="dxa"/>
            <w:vMerge/>
          </w:tcPr>
          <w:p w14:paraId="0AB31B53" w14:textId="77777777" w:rsidR="007157A6" w:rsidRPr="007157A6" w:rsidRDefault="007157A6" w:rsidP="007157A6">
            <w:pPr>
              <w:rPr>
                <w:lang w:val="en-GB"/>
              </w:rPr>
            </w:pPr>
          </w:p>
        </w:tc>
        <w:tc>
          <w:tcPr>
            <w:tcW w:w="3544" w:type="dxa"/>
          </w:tcPr>
          <w:p w14:paraId="142BEEBC" w14:textId="77777777" w:rsidR="007157A6" w:rsidRPr="007157A6" w:rsidRDefault="007157A6" w:rsidP="007157A6">
            <w:pPr>
              <w:rPr>
                <w:lang w:val="en-GB"/>
              </w:rPr>
            </w:pPr>
            <w:r w:rsidRPr="007157A6">
              <w:rPr>
                <w:lang w:val="en-GB"/>
              </w:rPr>
              <w:t>Level of ambition</w:t>
            </w:r>
          </w:p>
        </w:tc>
        <w:tc>
          <w:tcPr>
            <w:tcW w:w="418" w:type="dxa"/>
          </w:tcPr>
          <w:p w14:paraId="747262E2" w14:textId="77777777" w:rsidR="007157A6" w:rsidRPr="007157A6" w:rsidRDefault="007157A6" w:rsidP="007157A6">
            <w:pPr>
              <w:rPr>
                <w:lang w:val="en-GB"/>
              </w:rPr>
            </w:pPr>
          </w:p>
        </w:tc>
        <w:tc>
          <w:tcPr>
            <w:tcW w:w="418" w:type="dxa"/>
          </w:tcPr>
          <w:p w14:paraId="634867F8" w14:textId="77777777" w:rsidR="007157A6" w:rsidRPr="007157A6" w:rsidRDefault="007157A6" w:rsidP="007157A6">
            <w:pPr>
              <w:rPr>
                <w:lang w:val="en-GB"/>
              </w:rPr>
            </w:pPr>
          </w:p>
        </w:tc>
        <w:tc>
          <w:tcPr>
            <w:tcW w:w="418" w:type="dxa"/>
          </w:tcPr>
          <w:p w14:paraId="6BC97646" w14:textId="77777777" w:rsidR="007157A6" w:rsidRPr="007157A6" w:rsidRDefault="007157A6" w:rsidP="007157A6">
            <w:pPr>
              <w:rPr>
                <w:lang w:val="en-GB"/>
              </w:rPr>
            </w:pPr>
          </w:p>
        </w:tc>
        <w:tc>
          <w:tcPr>
            <w:tcW w:w="418" w:type="dxa"/>
          </w:tcPr>
          <w:p w14:paraId="2ACB4BD3" w14:textId="77777777" w:rsidR="007157A6" w:rsidRPr="007157A6" w:rsidRDefault="007157A6" w:rsidP="007157A6">
            <w:pPr>
              <w:rPr>
                <w:lang w:val="en-GB"/>
              </w:rPr>
            </w:pPr>
          </w:p>
        </w:tc>
        <w:tc>
          <w:tcPr>
            <w:tcW w:w="419" w:type="dxa"/>
          </w:tcPr>
          <w:p w14:paraId="5428A2CF" w14:textId="77777777" w:rsidR="007157A6" w:rsidRPr="007157A6" w:rsidRDefault="007157A6" w:rsidP="007157A6">
            <w:pPr>
              <w:rPr>
                <w:lang w:val="en-GB"/>
              </w:rPr>
            </w:pPr>
          </w:p>
        </w:tc>
      </w:tr>
      <w:tr w:rsidR="007157A6" w:rsidRPr="007157A6" w14:paraId="58E460FD" w14:textId="77777777" w:rsidTr="00C850ED">
        <w:trPr>
          <w:trHeight w:val="537"/>
        </w:trPr>
        <w:tc>
          <w:tcPr>
            <w:tcW w:w="8642" w:type="dxa"/>
            <w:vMerge/>
          </w:tcPr>
          <w:p w14:paraId="725C7AFA" w14:textId="77777777" w:rsidR="007157A6" w:rsidRPr="007157A6" w:rsidRDefault="007157A6" w:rsidP="007157A6">
            <w:pPr>
              <w:rPr>
                <w:lang w:val="en-GB"/>
              </w:rPr>
            </w:pPr>
          </w:p>
        </w:tc>
        <w:tc>
          <w:tcPr>
            <w:tcW w:w="3544" w:type="dxa"/>
          </w:tcPr>
          <w:p w14:paraId="60E6C919" w14:textId="77777777" w:rsidR="007157A6" w:rsidRPr="007157A6" w:rsidRDefault="007157A6" w:rsidP="007157A6">
            <w:pPr>
              <w:rPr>
                <w:lang w:val="en-GB"/>
              </w:rPr>
            </w:pPr>
            <w:r w:rsidRPr="007157A6">
              <w:rPr>
                <w:lang w:val="en-GB"/>
              </w:rPr>
              <w:t>Practicability</w:t>
            </w:r>
          </w:p>
        </w:tc>
        <w:tc>
          <w:tcPr>
            <w:tcW w:w="418" w:type="dxa"/>
          </w:tcPr>
          <w:p w14:paraId="10BD9CBA" w14:textId="77777777" w:rsidR="007157A6" w:rsidRPr="007157A6" w:rsidRDefault="007157A6" w:rsidP="007157A6">
            <w:pPr>
              <w:rPr>
                <w:lang w:val="en-GB"/>
              </w:rPr>
            </w:pPr>
          </w:p>
        </w:tc>
        <w:tc>
          <w:tcPr>
            <w:tcW w:w="418" w:type="dxa"/>
          </w:tcPr>
          <w:p w14:paraId="55323A79" w14:textId="77777777" w:rsidR="007157A6" w:rsidRPr="007157A6" w:rsidRDefault="007157A6" w:rsidP="007157A6">
            <w:pPr>
              <w:rPr>
                <w:lang w:val="en-GB"/>
              </w:rPr>
            </w:pPr>
          </w:p>
        </w:tc>
        <w:tc>
          <w:tcPr>
            <w:tcW w:w="418" w:type="dxa"/>
          </w:tcPr>
          <w:p w14:paraId="02FA28ED" w14:textId="77777777" w:rsidR="007157A6" w:rsidRPr="007157A6" w:rsidRDefault="007157A6" w:rsidP="007157A6">
            <w:pPr>
              <w:rPr>
                <w:lang w:val="en-GB"/>
              </w:rPr>
            </w:pPr>
          </w:p>
        </w:tc>
        <w:tc>
          <w:tcPr>
            <w:tcW w:w="418" w:type="dxa"/>
          </w:tcPr>
          <w:p w14:paraId="5200ADF7" w14:textId="77777777" w:rsidR="007157A6" w:rsidRPr="007157A6" w:rsidRDefault="007157A6" w:rsidP="007157A6">
            <w:pPr>
              <w:rPr>
                <w:lang w:val="en-GB"/>
              </w:rPr>
            </w:pPr>
          </w:p>
        </w:tc>
        <w:tc>
          <w:tcPr>
            <w:tcW w:w="419" w:type="dxa"/>
          </w:tcPr>
          <w:p w14:paraId="7F1EBA77" w14:textId="77777777" w:rsidR="007157A6" w:rsidRPr="007157A6" w:rsidRDefault="007157A6" w:rsidP="007157A6">
            <w:pPr>
              <w:rPr>
                <w:lang w:val="en-GB"/>
              </w:rPr>
            </w:pPr>
          </w:p>
        </w:tc>
      </w:tr>
      <w:tr w:rsidR="007157A6" w:rsidRPr="007157A6" w14:paraId="7DAD5D6E" w14:textId="77777777" w:rsidTr="00C850ED">
        <w:trPr>
          <w:trHeight w:val="537"/>
        </w:trPr>
        <w:tc>
          <w:tcPr>
            <w:tcW w:w="8642" w:type="dxa"/>
            <w:vMerge/>
          </w:tcPr>
          <w:p w14:paraId="4C69AA31" w14:textId="77777777" w:rsidR="007157A6" w:rsidRPr="007157A6" w:rsidRDefault="007157A6" w:rsidP="007157A6">
            <w:pPr>
              <w:rPr>
                <w:lang w:val="en-GB"/>
              </w:rPr>
            </w:pPr>
          </w:p>
        </w:tc>
        <w:tc>
          <w:tcPr>
            <w:tcW w:w="3544" w:type="dxa"/>
          </w:tcPr>
          <w:p w14:paraId="0CB3034E"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A927138" w14:textId="77777777" w:rsidR="007157A6" w:rsidRPr="007157A6" w:rsidRDefault="007157A6" w:rsidP="007157A6">
            <w:pPr>
              <w:rPr>
                <w:lang w:val="en-GB"/>
              </w:rPr>
            </w:pPr>
          </w:p>
        </w:tc>
        <w:tc>
          <w:tcPr>
            <w:tcW w:w="418" w:type="dxa"/>
          </w:tcPr>
          <w:p w14:paraId="6F0E5FC9" w14:textId="77777777" w:rsidR="007157A6" w:rsidRPr="007157A6" w:rsidRDefault="007157A6" w:rsidP="007157A6">
            <w:pPr>
              <w:rPr>
                <w:lang w:val="en-GB"/>
              </w:rPr>
            </w:pPr>
          </w:p>
        </w:tc>
        <w:tc>
          <w:tcPr>
            <w:tcW w:w="418" w:type="dxa"/>
          </w:tcPr>
          <w:p w14:paraId="157D982F" w14:textId="77777777" w:rsidR="007157A6" w:rsidRPr="007157A6" w:rsidRDefault="007157A6" w:rsidP="007157A6">
            <w:pPr>
              <w:rPr>
                <w:lang w:val="en-GB"/>
              </w:rPr>
            </w:pPr>
          </w:p>
        </w:tc>
        <w:tc>
          <w:tcPr>
            <w:tcW w:w="418" w:type="dxa"/>
          </w:tcPr>
          <w:p w14:paraId="0E4407C9" w14:textId="77777777" w:rsidR="007157A6" w:rsidRPr="007157A6" w:rsidRDefault="007157A6" w:rsidP="007157A6">
            <w:pPr>
              <w:rPr>
                <w:lang w:val="en-GB"/>
              </w:rPr>
            </w:pPr>
          </w:p>
        </w:tc>
        <w:tc>
          <w:tcPr>
            <w:tcW w:w="419" w:type="dxa"/>
          </w:tcPr>
          <w:p w14:paraId="62EB7326" w14:textId="77777777" w:rsidR="007157A6" w:rsidRPr="007157A6" w:rsidRDefault="007157A6" w:rsidP="007157A6">
            <w:pPr>
              <w:rPr>
                <w:lang w:val="en-GB"/>
              </w:rPr>
            </w:pPr>
          </w:p>
        </w:tc>
      </w:tr>
    </w:tbl>
    <w:p w14:paraId="7EE642FD" w14:textId="77777777" w:rsidR="007157A6" w:rsidRPr="007157A6" w:rsidRDefault="007157A6" w:rsidP="007157A6">
      <w:pPr>
        <w:spacing w:after="0"/>
        <w:rPr>
          <w:lang w:val="en-GB"/>
        </w:rPr>
      </w:pPr>
    </w:p>
    <w:p w14:paraId="62A4D1D4" w14:textId="77777777" w:rsidR="007157A6" w:rsidRPr="007157A6" w:rsidRDefault="007157A6" w:rsidP="007157A6">
      <w:pPr>
        <w:numPr>
          <w:ilvl w:val="0"/>
          <w:numId w:val="5"/>
        </w:numPr>
        <w:contextualSpacing/>
        <w:rPr>
          <w:lang w:val="en-GB"/>
        </w:rPr>
      </w:pPr>
      <w:r w:rsidRPr="007157A6">
        <w:rPr>
          <w:lang w:val="en-GB"/>
        </w:rPr>
        <w:t>In chapter 4.2, approach to action 2 proposes extending the established notification and reporting system of Deutsche Bundesbank to include sustainability indicators. Which i</w:t>
      </w:r>
      <w:r w:rsidR="00717905">
        <w:rPr>
          <w:lang w:val="en-GB"/>
        </w:rPr>
        <w:t>n</w:t>
      </w:r>
      <w:r w:rsidRPr="007157A6">
        <w:rPr>
          <w:lang w:val="en-GB"/>
        </w:rPr>
        <w:t>dicators regarding sustainability risks could be added in the reporting system?</w:t>
      </w:r>
    </w:p>
    <w:p w14:paraId="68129DD6" w14:textId="77777777" w:rsidR="007157A6" w:rsidRPr="007157A6" w:rsidRDefault="007157A6" w:rsidP="007157A6">
      <w:pPr>
        <w:ind w:left="360"/>
        <w:contextualSpacing/>
        <w:rPr>
          <w:lang w:val="en-GB"/>
        </w:rPr>
      </w:pPr>
    </w:p>
    <w:p w14:paraId="2D3E0332" w14:textId="77777777" w:rsidR="007157A6" w:rsidRPr="007157A6" w:rsidRDefault="007157A6" w:rsidP="007157A6">
      <w:pPr>
        <w:ind w:left="360"/>
        <w:contextualSpacing/>
        <w:rPr>
          <w:lang w:val="en-GB"/>
        </w:rPr>
      </w:pPr>
      <w:r w:rsidRPr="007157A6">
        <w:rPr>
          <w:noProof/>
          <w:lang w:eastAsia="de-DE"/>
        </w:rPr>
        <mc:AlternateContent>
          <mc:Choice Requires="wps">
            <w:drawing>
              <wp:anchor distT="0" distB="0" distL="114300" distR="114300" simplePos="0" relativeHeight="251664384" behindDoc="0" locked="0" layoutInCell="1" allowOverlap="1" wp14:anchorId="4083F015" wp14:editId="209E3CF6">
                <wp:simplePos x="0" y="0"/>
                <wp:positionH relativeFrom="column">
                  <wp:posOffset>0</wp:posOffset>
                </wp:positionH>
                <wp:positionV relativeFrom="paragraph">
                  <wp:posOffset>-635</wp:posOffset>
                </wp:positionV>
                <wp:extent cx="4460240" cy="254000"/>
                <wp:effectExtent l="0" t="0" r="16510" b="1270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3C2E6D03"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2354B" id="_x0000_s1036" type="#_x0000_t202" style="position:absolute;left:0;text-align:left;margin-left:0;margin-top:-.05pt;width:351.2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3F0D5095" w14:textId="77777777" w:rsidR="007157A6" w:rsidRPr="007157A6" w:rsidRDefault="007157A6" w:rsidP="007157A6">
      <w:pPr>
        <w:rPr>
          <w:b/>
          <w:lang w:val="en-GB"/>
        </w:rPr>
      </w:pPr>
    </w:p>
    <w:p w14:paraId="7CD93F8A" w14:textId="77777777" w:rsidR="007157A6" w:rsidRPr="007157A6" w:rsidRDefault="007157A6" w:rsidP="00717905">
      <w:pPr>
        <w:pBdr>
          <w:bottom w:val="single" w:sz="4" w:space="1" w:color="auto"/>
        </w:pBdr>
        <w:rPr>
          <w:b/>
          <w:sz w:val="28"/>
          <w:lang w:val="en-GB"/>
        </w:rPr>
      </w:pPr>
      <w:r w:rsidRPr="007157A6">
        <w:rPr>
          <w:b/>
          <w:sz w:val="28"/>
          <w:lang w:val="en-GB"/>
        </w:rPr>
        <w:t>R</w:t>
      </w:r>
      <w:r w:rsidR="00717905">
        <w:rPr>
          <w:b/>
          <w:sz w:val="28"/>
          <w:lang w:val="en-GB"/>
        </w:rPr>
        <w:t>ole of the Public Sector</w:t>
      </w:r>
    </w:p>
    <w:p w14:paraId="3567820D" w14:textId="77777777" w:rsidR="007157A6" w:rsidRPr="007157A6" w:rsidRDefault="007157A6" w:rsidP="007157A6">
      <w:pPr>
        <w:rPr>
          <w:lang w:val="en-GB"/>
        </w:rPr>
      </w:pPr>
      <w:r w:rsidRPr="007157A6">
        <w:rPr>
          <w:lang w:val="en-GB"/>
        </w:rPr>
        <w:t>How do you assess the measures proposed below (5=high, 1=low)?</w:t>
      </w:r>
    </w:p>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3F5D210C" w14:textId="77777777" w:rsidTr="00C850ED">
        <w:tc>
          <w:tcPr>
            <w:tcW w:w="8642" w:type="dxa"/>
            <w:shd w:val="clear" w:color="auto" w:fill="D9D9D9" w:themeFill="background1" w:themeFillShade="D9"/>
          </w:tcPr>
          <w:p w14:paraId="5EF4FC5F"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7782A592"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6A16C2CE"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63C40EA"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50930FF2"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34D7A6EF"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502BE781" w14:textId="77777777" w:rsidR="007157A6" w:rsidRPr="007157A6" w:rsidRDefault="007157A6" w:rsidP="007157A6">
            <w:pPr>
              <w:rPr>
                <w:b/>
                <w:lang w:val="en-GB"/>
              </w:rPr>
            </w:pPr>
            <w:r w:rsidRPr="007157A6">
              <w:rPr>
                <w:b/>
                <w:lang w:val="en-GB"/>
              </w:rPr>
              <w:t>1</w:t>
            </w:r>
          </w:p>
        </w:tc>
      </w:tr>
      <w:tr w:rsidR="007157A6" w:rsidRPr="007157A6" w14:paraId="2CD209CC" w14:textId="77777777" w:rsidTr="00C850ED">
        <w:tc>
          <w:tcPr>
            <w:tcW w:w="8642" w:type="dxa"/>
            <w:vMerge w:val="restart"/>
          </w:tcPr>
          <w:p w14:paraId="72C99363" w14:textId="77777777" w:rsidR="007157A6" w:rsidRPr="007157A6" w:rsidRDefault="007157A6" w:rsidP="007157A6">
            <w:pPr>
              <w:rPr>
                <w:lang w:val="en-GB"/>
              </w:rPr>
            </w:pPr>
            <w:r w:rsidRPr="007157A6">
              <w:rPr>
                <w:lang w:val="en-GB"/>
              </w:rPr>
              <w:t>Public sector players are called upon to link the allocation of funds consistently and strictly to its political goals. The necessary standards, regulations and transparency requirements should be based on international practice, but could be refined where necessary. This principle should also guide negotiations on the EU’s multiannual financial framework.</w:t>
            </w:r>
          </w:p>
        </w:tc>
        <w:tc>
          <w:tcPr>
            <w:tcW w:w="3544" w:type="dxa"/>
          </w:tcPr>
          <w:p w14:paraId="3A28287D" w14:textId="77777777" w:rsidR="007157A6" w:rsidRPr="007157A6" w:rsidRDefault="007157A6" w:rsidP="007157A6">
            <w:pPr>
              <w:rPr>
                <w:lang w:val="en-GB"/>
              </w:rPr>
            </w:pPr>
            <w:r w:rsidRPr="007157A6">
              <w:rPr>
                <w:lang w:val="en-GB"/>
              </w:rPr>
              <w:t>Will foster Sustainable Finance in Germany</w:t>
            </w:r>
          </w:p>
        </w:tc>
        <w:tc>
          <w:tcPr>
            <w:tcW w:w="418" w:type="dxa"/>
          </w:tcPr>
          <w:p w14:paraId="31A61010" w14:textId="77777777" w:rsidR="007157A6" w:rsidRPr="007157A6" w:rsidRDefault="007157A6" w:rsidP="007157A6">
            <w:pPr>
              <w:rPr>
                <w:lang w:val="en-GB"/>
              </w:rPr>
            </w:pPr>
          </w:p>
        </w:tc>
        <w:tc>
          <w:tcPr>
            <w:tcW w:w="418" w:type="dxa"/>
          </w:tcPr>
          <w:p w14:paraId="4AC308AF" w14:textId="77777777" w:rsidR="007157A6" w:rsidRPr="007157A6" w:rsidRDefault="007157A6" w:rsidP="007157A6">
            <w:pPr>
              <w:rPr>
                <w:lang w:val="en-GB"/>
              </w:rPr>
            </w:pPr>
          </w:p>
        </w:tc>
        <w:tc>
          <w:tcPr>
            <w:tcW w:w="418" w:type="dxa"/>
          </w:tcPr>
          <w:p w14:paraId="3730F75E" w14:textId="77777777" w:rsidR="007157A6" w:rsidRPr="007157A6" w:rsidRDefault="007157A6" w:rsidP="007157A6">
            <w:pPr>
              <w:rPr>
                <w:lang w:val="en-GB"/>
              </w:rPr>
            </w:pPr>
          </w:p>
        </w:tc>
        <w:tc>
          <w:tcPr>
            <w:tcW w:w="418" w:type="dxa"/>
          </w:tcPr>
          <w:p w14:paraId="6C8EAA29" w14:textId="77777777" w:rsidR="007157A6" w:rsidRPr="007157A6" w:rsidRDefault="007157A6" w:rsidP="007157A6">
            <w:pPr>
              <w:rPr>
                <w:lang w:val="en-GB"/>
              </w:rPr>
            </w:pPr>
          </w:p>
        </w:tc>
        <w:tc>
          <w:tcPr>
            <w:tcW w:w="419" w:type="dxa"/>
          </w:tcPr>
          <w:p w14:paraId="3822DF01" w14:textId="77777777" w:rsidR="007157A6" w:rsidRPr="007157A6" w:rsidRDefault="007157A6" w:rsidP="007157A6">
            <w:pPr>
              <w:rPr>
                <w:lang w:val="en-GB"/>
              </w:rPr>
            </w:pPr>
          </w:p>
        </w:tc>
      </w:tr>
      <w:tr w:rsidR="007157A6" w:rsidRPr="007157A6" w14:paraId="1D21F68B" w14:textId="77777777" w:rsidTr="00C850ED">
        <w:tc>
          <w:tcPr>
            <w:tcW w:w="8642" w:type="dxa"/>
            <w:vMerge/>
          </w:tcPr>
          <w:p w14:paraId="10CEA82F" w14:textId="77777777" w:rsidR="007157A6" w:rsidRPr="007157A6" w:rsidRDefault="007157A6" w:rsidP="007157A6">
            <w:pPr>
              <w:rPr>
                <w:lang w:val="en-GB"/>
              </w:rPr>
            </w:pPr>
          </w:p>
        </w:tc>
        <w:tc>
          <w:tcPr>
            <w:tcW w:w="3544" w:type="dxa"/>
          </w:tcPr>
          <w:p w14:paraId="6316DB14" w14:textId="77777777" w:rsidR="007157A6" w:rsidRPr="007157A6" w:rsidRDefault="007157A6" w:rsidP="007157A6">
            <w:pPr>
              <w:rPr>
                <w:lang w:val="en-GB"/>
              </w:rPr>
            </w:pPr>
            <w:r w:rsidRPr="007157A6">
              <w:rPr>
                <w:lang w:val="en-GB"/>
              </w:rPr>
              <w:t>Level of ambition</w:t>
            </w:r>
          </w:p>
        </w:tc>
        <w:tc>
          <w:tcPr>
            <w:tcW w:w="418" w:type="dxa"/>
          </w:tcPr>
          <w:p w14:paraId="7EDF7D75" w14:textId="77777777" w:rsidR="007157A6" w:rsidRPr="007157A6" w:rsidRDefault="007157A6" w:rsidP="007157A6">
            <w:pPr>
              <w:rPr>
                <w:lang w:val="en-GB"/>
              </w:rPr>
            </w:pPr>
          </w:p>
        </w:tc>
        <w:tc>
          <w:tcPr>
            <w:tcW w:w="418" w:type="dxa"/>
          </w:tcPr>
          <w:p w14:paraId="5EDCE09F" w14:textId="77777777" w:rsidR="007157A6" w:rsidRPr="007157A6" w:rsidRDefault="007157A6" w:rsidP="007157A6">
            <w:pPr>
              <w:rPr>
                <w:lang w:val="en-GB"/>
              </w:rPr>
            </w:pPr>
          </w:p>
        </w:tc>
        <w:tc>
          <w:tcPr>
            <w:tcW w:w="418" w:type="dxa"/>
          </w:tcPr>
          <w:p w14:paraId="5AA21BFC" w14:textId="77777777" w:rsidR="007157A6" w:rsidRPr="007157A6" w:rsidRDefault="007157A6" w:rsidP="007157A6">
            <w:pPr>
              <w:rPr>
                <w:lang w:val="en-GB"/>
              </w:rPr>
            </w:pPr>
          </w:p>
        </w:tc>
        <w:tc>
          <w:tcPr>
            <w:tcW w:w="418" w:type="dxa"/>
          </w:tcPr>
          <w:p w14:paraId="181885CA" w14:textId="77777777" w:rsidR="007157A6" w:rsidRPr="007157A6" w:rsidRDefault="007157A6" w:rsidP="007157A6">
            <w:pPr>
              <w:rPr>
                <w:lang w:val="en-GB"/>
              </w:rPr>
            </w:pPr>
          </w:p>
        </w:tc>
        <w:tc>
          <w:tcPr>
            <w:tcW w:w="419" w:type="dxa"/>
          </w:tcPr>
          <w:p w14:paraId="7FD157CB" w14:textId="77777777" w:rsidR="007157A6" w:rsidRPr="007157A6" w:rsidRDefault="007157A6" w:rsidP="007157A6">
            <w:pPr>
              <w:rPr>
                <w:lang w:val="en-GB"/>
              </w:rPr>
            </w:pPr>
          </w:p>
        </w:tc>
      </w:tr>
      <w:tr w:rsidR="007157A6" w:rsidRPr="007157A6" w14:paraId="7CF16CE4" w14:textId="77777777" w:rsidTr="00C850ED">
        <w:tc>
          <w:tcPr>
            <w:tcW w:w="8642" w:type="dxa"/>
            <w:vMerge/>
          </w:tcPr>
          <w:p w14:paraId="3AFBE646" w14:textId="77777777" w:rsidR="007157A6" w:rsidRPr="007157A6" w:rsidRDefault="007157A6" w:rsidP="007157A6">
            <w:pPr>
              <w:rPr>
                <w:lang w:val="en-GB"/>
              </w:rPr>
            </w:pPr>
          </w:p>
        </w:tc>
        <w:tc>
          <w:tcPr>
            <w:tcW w:w="3544" w:type="dxa"/>
          </w:tcPr>
          <w:p w14:paraId="6CBDD29C" w14:textId="77777777" w:rsidR="007157A6" w:rsidRPr="007157A6" w:rsidRDefault="007157A6" w:rsidP="007157A6">
            <w:pPr>
              <w:rPr>
                <w:lang w:val="en-GB"/>
              </w:rPr>
            </w:pPr>
            <w:r w:rsidRPr="007157A6">
              <w:rPr>
                <w:lang w:val="en-GB"/>
              </w:rPr>
              <w:t>Practicability</w:t>
            </w:r>
          </w:p>
        </w:tc>
        <w:tc>
          <w:tcPr>
            <w:tcW w:w="418" w:type="dxa"/>
          </w:tcPr>
          <w:p w14:paraId="494599F1" w14:textId="77777777" w:rsidR="007157A6" w:rsidRPr="007157A6" w:rsidRDefault="007157A6" w:rsidP="007157A6">
            <w:pPr>
              <w:rPr>
                <w:lang w:val="en-GB"/>
              </w:rPr>
            </w:pPr>
          </w:p>
        </w:tc>
        <w:tc>
          <w:tcPr>
            <w:tcW w:w="418" w:type="dxa"/>
          </w:tcPr>
          <w:p w14:paraId="0E2F825A" w14:textId="77777777" w:rsidR="007157A6" w:rsidRPr="007157A6" w:rsidRDefault="007157A6" w:rsidP="007157A6">
            <w:pPr>
              <w:rPr>
                <w:lang w:val="en-GB"/>
              </w:rPr>
            </w:pPr>
          </w:p>
        </w:tc>
        <w:tc>
          <w:tcPr>
            <w:tcW w:w="418" w:type="dxa"/>
          </w:tcPr>
          <w:p w14:paraId="4FA87B54" w14:textId="77777777" w:rsidR="007157A6" w:rsidRPr="007157A6" w:rsidRDefault="007157A6" w:rsidP="007157A6">
            <w:pPr>
              <w:rPr>
                <w:lang w:val="en-GB"/>
              </w:rPr>
            </w:pPr>
          </w:p>
        </w:tc>
        <w:tc>
          <w:tcPr>
            <w:tcW w:w="418" w:type="dxa"/>
          </w:tcPr>
          <w:p w14:paraId="0D902E0B" w14:textId="77777777" w:rsidR="007157A6" w:rsidRPr="007157A6" w:rsidRDefault="007157A6" w:rsidP="007157A6">
            <w:pPr>
              <w:rPr>
                <w:lang w:val="en-GB"/>
              </w:rPr>
            </w:pPr>
          </w:p>
        </w:tc>
        <w:tc>
          <w:tcPr>
            <w:tcW w:w="419" w:type="dxa"/>
          </w:tcPr>
          <w:p w14:paraId="6F431E61" w14:textId="77777777" w:rsidR="007157A6" w:rsidRPr="007157A6" w:rsidRDefault="007157A6" w:rsidP="007157A6">
            <w:pPr>
              <w:rPr>
                <w:lang w:val="en-GB"/>
              </w:rPr>
            </w:pPr>
          </w:p>
        </w:tc>
      </w:tr>
      <w:tr w:rsidR="007157A6" w:rsidRPr="007157A6" w14:paraId="2F001A72" w14:textId="77777777" w:rsidTr="00C850ED">
        <w:tc>
          <w:tcPr>
            <w:tcW w:w="8642" w:type="dxa"/>
            <w:vMerge/>
          </w:tcPr>
          <w:p w14:paraId="54EB5832" w14:textId="77777777" w:rsidR="007157A6" w:rsidRPr="007157A6" w:rsidRDefault="007157A6" w:rsidP="007157A6">
            <w:pPr>
              <w:rPr>
                <w:lang w:val="en-GB"/>
              </w:rPr>
            </w:pPr>
          </w:p>
        </w:tc>
        <w:tc>
          <w:tcPr>
            <w:tcW w:w="3544" w:type="dxa"/>
          </w:tcPr>
          <w:p w14:paraId="63A34942"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0A3E53AE" w14:textId="77777777" w:rsidR="007157A6" w:rsidRPr="007157A6" w:rsidRDefault="007157A6" w:rsidP="007157A6">
            <w:pPr>
              <w:rPr>
                <w:lang w:val="en-GB"/>
              </w:rPr>
            </w:pPr>
          </w:p>
        </w:tc>
        <w:tc>
          <w:tcPr>
            <w:tcW w:w="418" w:type="dxa"/>
          </w:tcPr>
          <w:p w14:paraId="141CE081" w14:textId="77777777" w:rsidR="007157A6" w:rsidRPr="007157A6" w:rsidRDefault="007157A6" w:rsidP="007157A6">
            <w:pPr>
              <w:rPr>
                <w:lang w:val="en-GB"/>
              </w:rPr>
            </w:pPr>
          </w:p>
        </w:tc>
        <w:tc>
          <w:tcPr>
            <w:tcW w:w="418" w:type="dxa"/>
          </w:tcPr>
          <w:p w14:paraId="32DD615F" w14:textId="77777777" w:rsidR="007157A6" w:rsidRPr="007157A6" w:rsidRDefault="007157A6" w:rsidP="007157A6">
            <w:pPr>
              <w:rPr>
                <w:lang w:val="en-GB"/>
              </w:rPr>
            </w:pPr>
          </w:p>
        </w:tc>
        <w:tc>
          <w:tcPr>
            <w:tcW w:w="418" w:type="dxa"/>
          </w:tcPr>
          <w:p w14:paraId="71ED4F4D" w14:textId="77777777" w:rsidR="007157A6" w:rsidRPr="007157A6" w:rsidRDefault="007157A6" w:rsidP="007157A6">
            <w:pPr>
              <w:rPr>
                <w:lang w:val="en-GB"/>
              </w:rPr>
            </w:pPr>
          </w:p>
        </w:tc>
        <w:tc>
          <w:tcPr>
            <w:tcW w:w="419" w:type="dxa"/>
          </w:tcPr>
          <w:p w14:paraId="38083C5A" w14:textId="77777777" w:rsidR="007157A6" w:rsidRPr="007157A6" w:rsidRDefault="007157A6" w:rsidP="007157A6">
            <w:pPr>
              <w:rPr>
                <w:lang w:val="en-GB"/>
              </w:rPr>
            </w:pPr>
          </w:p>
        </w:tc>
      </w:tr>
      <w:tr w:rsidR="007157A6" w:rsidRPr="007157A6" w14:paraId="6BB4226B" w14:textId="77777777" w:rsidTr="00C850ED">
        <w:tc>
          <w:tcPr>
            <w:tcW w:w="8642" w:type="dxa"/>
            <w:shd w:val="clear" w:color="auto" w:fill="D9D9D9" w:themeFill="background1" w:themeFillShade="D9"/>
          </w:tcPr>
          <w:p w14:paraId="32034169"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41F12340"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5AE21A60"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2F1AC3B2"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0D24FF1"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0F51A6F2"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4A7E55F3" w14:textId="77777777" w:rsidR="007157A6" w:rsidRPr="007157A6" w:rsidRDefault="007157A6" w:rsidP="007157A6">
            <w:pPr>
              <w:rPr>
                <w:lang w:val="en-GB"/>
              </w:rPr>
            </w:pPr>
            <w:r w:rsidRPr="007157A6">
              <w:rPr>
                <w:b/>
                <w:lang w:val="en-GB"/>
              </w:rPr>
              <w:t>1</w:t>
            </w:r>
          </w:p>
        </w:tc>
      </w:tr>
      <w:tr w:rsidR="007157A6" w:rsidRPr="007157A6" w14:paraId="72DE288B" w14:textId="77777777" w:rsidTr="00C850ED">
        <w:trPr>
          <w:trHeight w:val="798"/>
        </w:trPr>
        <w:tc>
          <w:tcPr>
            <w:tcW w:w="8642" w:type="dxa"/>
            <w:vMerge w:val="restart"/>
          </w:tcPr>
          <w:p w14:paraId="78994639" w14:textId="77777777" w:rsidR="007157A6" w:rsidRPr="007157A6" w:rsidRDefault="007157A6" w:rsidP="007157A6">
            <w:pPr>
              <w:rPr>
                <w:lang w:val="en-GB"/>
              </w:rPr>
            </w:pPr>
            <w:r w:rsidRPr="007157A6">
              <w:rPr>
                <w:lang w:val="en-GB"/>
              </w:rPr>
              <w:t xml:space="preserve">In its capacity as an investor, the public sector is one of Germany’s largest institutional investors. It should strictly align its capital expenditures – e.g. in connection with the “Fund </w:t>
            </w:r>
            <w:r w:rsidRPr="007157A6">
              <w:rPr>
                <w:lang w:val="en-GB"/>
              </w:rPr>
              <w:lastRenderedPageBreak/>
              <w:t>for Financing the Management of Radioactive Waste” (KENFO) – with given political goals and should abide by sophisticated sustainability benchmarks (such as the “Climate Transition Benchmark” or the “Paris-aligned Benchmark”) prepared by the EU Commission’s Technical Expert Group (TEG). The public sector should be a pioneer in the implementation of the TCFD recommendations and with respect to the reporting system vis-à-vis the final recipients. As regards investment classes tied directly to political goals, e.g. its directly held real property portfolio, the public sector should make use of its policymaking leverage and lead by example. A joint understanding of the capital investment strategy should be reached at the level of the German federal government and the German states.</w:t>
            </w:r>
          </w:p>
        </w:tc>
        <w:tc>
          <w:tcPr>
            <w:tcW w:w="3544" w:type="dxa"/>
          </w:tcPr>
          <w:p w14:paraId="2B27F384"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36B5DDB4" w14:textId="77777777" w:rsidR="007157A6" w:rsidRPr="007157A6" w:rsidRDefault="007157A6" w:rsidP="007157A6">
            <w:pPr>
              <w:rPr>
                <w:lang w:val="en-GB"/>
              </w:rPr>
            </w:pPr>
          </w:p>
        </w:tc>
        <w:tc>
          <w:tcPr>
            <w:tcW w:w="418" w:type="dxa"/>
          </w:tcPr>
          <w:p w14:paraId="7A07188E" w14:textId="77777777" w:rsidR="007157A6" w:rsidRPr="007157A6" w:rsidRDefault="007157A6" w:rsidP="007157A6">
            <w:pPr>
              <w:rPr>
                <w:lang w:val="en-GB"/>
              </w:rPr>
            </w:pPr>
          </w:p>
        </w:tc>
        <w:tc>
          <w:tcPr>
            <w:tcW w:w="418" w:type="dxa"/>
          </w:tcPr>
          <w:p w14:paraId="7D45FB70" w14:textId="77777777" w:rsidR="007157A6" w:rsidRPr="007157A6" w:rsidRDefault="007157A6" w:rsidP="007157A6">
            <w:pPr>
              <w:rPr>
                <w:lang w:val="en-GB"/>
              </w:rPr>
            </w:pPr>
          </w:p>
        </w:tc>
        <w:tc>
          <w:tcPr>
            <w:tcW w:w="418" w:type="dxa"/>
          </w:tcPr>
          <w:p w14:paraId="00CC01A2" w14:textId="77777777" w:rsidR="007157A6" w:rsidRPr="007157A6" w:rsidRDefault="007157A6" w:rsidP="007157A6">
            <w:pPr>
              <w:rPr>
                <w:lang w:val="en-GB"/>
              </w:rPr>
            </w:pPr>
          </w:p>
        </w:tc>
        <w:tc>
          <w:tcPr>
            <w:tcW w:w="419" w:type="dxa"/>
          </w:tcPr>
          <w:p w14:paraId="2D6766C4" w14:textId="77777777" w:rsidR="007157A6" w:rsidRPr="007157A6" w:rsidRDefault="007157A6" w:rsidP="007157A6">
            <w:pPr>
              <w:rPr>
                <w:lang w:val="en-GB"/>
              </w:rPr>
            </w:pPr>
          </w:p>
        </w:tc>
      </w:tr>
      <w:tr w:rsidR="007157A6" w:rsidRPr="007157A6" w14:paraId="7E6DB2B3" w14:textId="77777777" w:rsidTr="00C850ED">
        <w:trPr>
          <w:trHeight w:val="798"/>
        </w:trPr>
        <w:tc>
          <w:tcPr>
            <w:tcW w:w="8642" w:type="dxa"/>
            <w:vMerge/>
          </w:tcPr>
          <w:p w14:paraId="4FC662CE" w14:textId="77777777" w:rsidR="007157A6" w:rsidRPr="007157A6" w:rsidRDefault="007157A6" w:rsidP="007157A6">
            <w:pPr>
              <w:rPr>
                <w:lang w:val="en-GB"/>
              </w:rPr>
            </w:pPr>
          </w:p>
        </w:tc>
        <w:tc>
          <w:tcPr>
            <w:tcW w:w="3544" w:type="dxa"/>
          </w:tcPr>
          <w:p w14:paraId="08C95646" w14:textId="77777777" w:rsidR="007157A6" w:rsidRPr="007157A6" w:rsidRDefault="007157A6" w:rsidP="007157A6">
            <w:pPr>
              <w:rPr>
                <w:lang w:val="en-GB"/>
              </w:rPr>
            </w:pPr>
            <w:r w:rsidRPr="007157A6">
              <w:rPr>
                <w:lang w:val="en-GB"/>
              </w:rPr>
              <w:t>Level of ambition</w:t>
            </w:r>
          </w:p>
        </w:tc>
        <w:tc>
          <w:tcPr>
            <w:tcW w:w="418" w:type="dxa"/>
          </w:tcPr>
          <w:p w14:paraId="2EFF8250" w14:textId="77777777" w:rsidR="007157A6" w:rsidRPr="007157A6" w:rsidRDefault="007157A6" w:rsidP="007157A6">
            <w:pPr>
              <w:rPr>
                <w:lang w:val="en-GB"/>
              </w:rPr>
            </w:pPr>
          </w:p>
        </w:tc>
        <w:tc>
          <w:tcPr>
            <w:tcW w:w="418" w:type="dxa"/>
          </w:tcPr>
          <w:p w14:paraId="1B370A76" w14:textId="77777777" w:rsidR="007157A6" w:rsidRPr="007157A6" w:rsidRDefault="007157A6" w:rsidP="007157A6">
            <w:pPr>
              <w:rPr>
                <w:lang w:val="en-GB"/>
              </w:rPr>
            </w:pPr>
          </w:p>
        </w:tc>
        <w:tc>
          <w:tcPr>
            <w:tcW w:w="418" w:type="dxa"/>
          </w:tcPr>
          <w:p w14:paraId="29990AB7" w14:textId="77777777" w:rsidR="007157A6" w:rsidRPr="007157A6" w:rsidRDefault="007157A6" w:rsidP="007157A6">
            <w:pPr>
              <w:rPr>
                <w:lang w:val="en-GB"/>
              </w:rPr>
            </w:pPr>
          </w:p>
        </w:tc>
        <w:tc>
          <w:tcPr>
            <w:tcW w:w="418" w:type="dxa"/>
          </w:tcPr>
          <w:p w14:paraId="6F3CCAA5" w14:textId="77777777" w:rsidR="007157A6" w:rsidRPr="007157A6" w:rsidRDefault="007157A6" w:rsidP="007157A6">
            <w:pPr>
              <w:rPr>
                <w:lang w:val="en-GB"/>
              </w:rPr>
            </w:pPr>
          </w:p>
        </w:tc>
        <w:tc>
          <w:tcPr>
            <w:tcW w:w="419" w:type="dxa"/>
          </w:tcPr>
          <w:p w14:paraId="0A3716AD" w14:textId="77777777" w:rsidR="007157A6" w:rsidRPr="007157A6" w:rsidRDefault="007157A6" w:rsidP="007157A6">
            <w:pPr>
              <w:rPr>
                <w:lang w:val="en-GB"/>
              </w:rPr>
            </w:pPr>
          </w:p>
        </w:tc>
      </w:tr>
      <w:tr w:rsidR="007157A6" w:rsidRPr="007157A6" w14:paraId="6C8BB6AD" w14:textId="77777777" w:rsidTr="00C850ED">
        <w:trPr>
          <w:trHeight w:val="798"/>
        </w:trPr>
        <w:tc>
          <w:tcPr>
            <w:tcW w:w="8642" w:type="dxa"/>
            <w:vMerge/>
          </w:tcPr>
          <w:p w14:paraId="516D84A6" w14:textId="77777777" w:rsidR="007157A6" w:rsidRPr="007157A6" w:rsidRDefault="007157A6" w:rsidP="007157A6">
            <w:pPr>
              <w:rPr>
                <w:lang w:val="en-GB"/>
              </w:rPr>
            </w:pPr>
          </w:p>
        </w:tc>
        <w:tc>
          <w:tcPr>
            <w:tcW w:w="3544" w:type="dxa"/>
          </w:tcPr>
          <w:p w14:paraId="7186A573" w14:textId="77777777" w:rsidR="007157A6" w:rsidRPr="007157A6" w:rsidRDefault="007157A6" w:rsidP="007157A6">
            <w:pPr>
              <w:rPr>
                <w:lang w:val="en-GB"/>
              </w:rPr>
            </w:pPr>
            <w:r w:rsidRPr="007157A6">
              <w:rPr>
                <w:lang w:val="en-GB"/>
              </w:rPr>
              <w:t>Practicability</w:t>
            </w:r>
          </w:p>
        </w:tc>
        <w:tc>
          <w:tcPr>
            <w:tcW w:w="418" w:type="dxa"/>
          </w:tcPr>
          <w:p w14:paraId="5586221D" w14:textId="77777777" w:rsidR="007157A6" w:rsidRPr="007157A6" w:rsidRDefault="007157A6" w:rsidP="007157A6">
            <w:pPr>
              <w:rPr>
                <w:lang w:val="en-GB"/>
              </w:rPr>
            </w:pPr>
          </w:p>
        </w:tc>
        <w:tc>
          <w:tcPr>
            <w:tcW w:w="418" w:type="dxa"/>
          </w:tcPr>
          <w:p w14:paraId="15D79DC3" w14:textId="77777777" w:rsidR="007157A6" w:rsidRPr="007157A6" w:rsidRDefault="007157A6" w:rsidP="007157A6">
            <w:pPr>
              <w:rPr>
                <w:lang w:val="en-GB"/>
              </w:rPr>
            </w:pPr>
          </w:p>
        </w:tc>
        <w:tc>
          <w:tcPr>
            <w:tcW w:w="418" w:type="dxa"/>
          </w:tcPr>
          <w:p w14:paraId="0BCBF28C" w14:textId="77777777" w:rsidR="007157A6" w:rsidRPr="007157A6" w:rsidRDefault="007157A6" w:rsidP="007157A6">
            <w:pPr>
              <w:rPr>
                <w:lang w:val="en-GB"/>
              </w:rPr>
            </w:pPr>
          </w:p>
        </w:tc>
        <w:tc>
          <w:tcPr>
            <w:tcW w:w="418" w:type="dxa"/>
          </w:tcPr>
          <w:p w14:paraId="2A249AE2" w14:textId="77777777" w:rsidR="007157A6" w:rsidRPr="007157A6" w:rsidRDefault="007157A6" w:rsidP="007157A6">
            <w:pPr>
              <w:rPr>
                <w:lang w:val="en-GB"/>
              </w:rPr>
            </w:pPr>
          </w:p>
        </w:tc>
        <w:tc>
          <w:tcPr>
            <w:tcW w:w="419" w:type="dxa"/>
          </w:tcPr>
          <w:p w14:paraId="5956A884" w14:textId="77777777" w:rsidR="007157A6" w:rsidRPr="007157A6" w:rsidRDefault="007157A6" w:rsidP="007157A6">
            <w:pPr>
              <w:rPr>
                <w:lang w:val="en-GB"/>
              </w:rPr>
            </w:pPr>
          </w:p>
        </w:tc>
      </w:tr>
      <w:tr w:rsidR="007157A6" w:rsidRPr="007157A6" w14:paraId="7A4ABAC6" w14:textId="77777777" w:rsidTr="00C850ED">
        <w:trPr>
          <w:trHeight w:val="799"/>
        </w:trPr>
        <w:tc>
          <w:tcPr>
            <w:tcW w:w="8642" w:type="dxa"/>
            <w:vMerge/>
          </w:tcPr>
          <w:p w14:paraId="46EC0C2C" w14:textId="77777777" w:rsidR="007157A6" w:rsidRPr="007157A6" w:rsidRDefault="007157A6" w:rsidP="007157A6">
            <w:pPr>
              <w:rPr>
                <w:lang w:val="en-GB"/>
              </w:rPr>
            </w:pPr>
          </w:p>
        </w:tc>
        <w:tc>
          <w:tcPr>
            <w:tcW w:w="3544" w:type="dxa"/>
          </w:tcPr>
          <w:p w14:paraId="689BE19A"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3F2AC72F" w14:textId="77777777" w:rsidR="007157A6" w:rsidRPr="007157A6" w:rsidRDefault="007157A6" w:rsidP="007157A6">
            <w:pPr>
              <w:rPr>
                <w:lang w:val="en-GB"/>
              </w:rPr>
            </w:pPr>
          </w:p>
        </w:tc>
        <w:tc>
          <w:tcPr>
            <w:tcW w:w="418" w:type="dxa"/>
          </w:tcPr>
          <w:p w14:paraId="672821AD" w14:textId="77777777" w:rsidR="007157A6" w:rsidRPr="007157A6" w:rsidRDefault="007157A6" w:rsidP="007157A6">
            <w:pPr>
              <w:rPr>
                <w:lang w:val="en-GB"/>
              </w:rPr>
            </w:pPr>
          </w:p>
        </w:tc>
        <w:tc>
          <w:tcPr>
            <w:tcW w:w="418" w:type="dxa"/>
          </w:tcPr>
          <w:p w14:paraId="09A0CE41" w14:textId="77777777" w:rsidR="007157A6" w:rsidRPr="007157A6" w:rsidRDefault="007157A6" w:rsidP="007157A6">
            <w:pPr>
              <w:rPr>
                <w:lang w:val="en-GB"/>
              </w:rPr>
            </w:pPr>
          </w:p>
        </w:tc>
        <w:tc>
          <w:tcPr>
            <w:tcW w:w="418" w:type="dxa"/>
          </w:tcPr>
          <w:p w14:paraId="7915565F" w14:textId="77777777" w:rsidR="007157A6" w:rsidRPr="007157A6" w:rsidRDefault="007157A6" w:rsidP="007157A6">
            <w:pPr>
              <w:rPr>
                <w:lang w:val="en-GB"/>
              </w:rPr>
            </w:pPr>
          </w:p>
        </w:tc>
        <w:tc>
          <w:tcPr>
            <w:tcW w:w="419" w:type="dxa"/>
          </w:tcPr>
          <w:p w14:paraId="429F74A5" w14:textId="77777777" w:rsidR="007157A6" w:rsidRPr="007157A6" w:rsidRDefault="007157A6" w:rsidP="007157A6">
            <w:pPr>
              <w:rPr>
                <w:lang w:val="en-GB"/>
              </w:rPr>
            </w:pPr>
          </w:p>
        </w:tc>
      </w:tr>
      <w:tr w:rsidR="007157A6" w:rsidRPr="007157A6" w14:paraId="469AD1B5" w14:textId="77777777" w:rsidTr="00C850ED">
        <w:tc>
          <w:tcPr>
            <w:tcW w:w="8642" w:type="dxa"/>
            <w:shd w:val="clear" w:color="auto" w:fill="D9D9D9" w:themeFill="background1" w:themeFillShade="D9"/>
          </w:tcPr>
          <w:p w14:paraId="1FEC4028"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45660CAE"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7015A5B"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09F44B86"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C020DE5"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75DC0F9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64DED71" w14:textId="77777777" w:rsidR="007157A6" w:rsidRPr="007157A6" w:rsidRDefault="007157A6" w:rsidP="007157A6">
            <w:pPr>
              <w:rPr>
                <w:lang w:val="en-GB"/>
              </w:rPr>
            </w:pPr>
            <w:r w:rsidRPr="007157A6">
              <w:rPr>
                <w:b/>
                <w:lang w:val="en-GB"/>
              </w:rPr>
              <w:t>1</w:t>
            </w:r>
          </w:p>
        </w:tc>
      </w:tr>
      <w:tr w:rsidR="007157A6" w:rsidRPr="007157A6" w14:paraId="19ED507D" w14:textId="77777777" w:rsidTr="00C850ED">
        <w:trPr>
          <w:trHeight w:val="932"/>
        </w:trPr>
        <w:tc>
          <w:tcPr>
            <w:tcW w:w="8642" w:type="dxa"/>
            <w:vMerge w:val="restart"/>
          </w:tcPr>
          <w:p w14:paraId="3C6BD56F" w14:textId="77777777" w:rsidR="007157A6" w:rsidRPr="007157A6" w:rsidRDefault="007157A6" w:rsidP="007157A6">
            <w:pPr>
              <w:rPr>
                <w:lang w:val="en-GB"/>
              </w:rPr>
            </w:pPr>
            <w:r w:rsidRPr="007157A6">
              <w:rPr>
                <w:lang w:val="en-GB"/>
              </w:rPr>
              <w:t>One of the biggest funding tasks in future involves building up a sustainable infrastructure. Support programmes should therefore be consistently aligned with this task. This requires the greatest possible flexibility, given divergent regional needs and technical solutions. It also requires sound technical know-how among the on-lending private sector financial institutions. The public sector could centralise the development of the respective expertise, for example at the German Energy Agency (</w:t>
            </w:r>
            <w:proofErr w:type="spellStart"/>
            <w:r w:rsidRPr="007157A6">
              <w:rPr>
                <w:lang w:val="en-GB"/>
              </w:rPr>
              <w:t>dena</w:t>
            </w:r>
            <w:proofErr w:type="spellEnd"/>
            <w:r w:rsidRPr="007157A6">
              <w:rPr>
                <w:lang w:val="en-GB"/>
              </w:rPr>
              <w:t xml:space="preserve">) and/or comparable institutions, and make it available to the market. Clear signals from the German federal government and the German states as to priority investment needs and support for both project and programme development would accelerate the relevant project pipeline. Sustainability criteria must be integrated in binding fashion into state-subsidised financial products (such as the German </w:t>
            </w:r>
            <w:proofErr w:type="spellStart"/>
            <w:r w:rsidRPr="007157A6">
              <w:rPr>
                <w:lang w:val="en-GB"/>
              </w:rPr>
              <w:t>Riester</w:t>
            </w:r>
            <w:proofErr w:type="spellEnd"/>
            <w:r w:rsidRPr="007157A6">
              <w:rPr>
                <w:lang w:val="en-GB"/>
              </w:rPr>
              <w:t xml:space="preserve"> and </w:t>
            </w:r>
            <w:proofErr w:type="spellStart"/>
            <w:r w:rsidRPr="007157A6">
              <w:rPr>
                <w:lang w:val="en-GB"/>
              </w:rPr>
              <w:t>Rürup</w:t>
            </w:r>
            <w:proofErr w:type="spellEnd"/>
            <w:r w:rsidRPr="007157A6">
              <w:rPr>
                <w:lang w:val="en-GB"/>
              </w:rPr>
              <w:t xml:space="preserve"> programmes, occupational retirement provision), for example, in compliance with conventions of which Germany is a signatory. The same applies to the products of the development banks and all financial institutions under public law.</w:t>
            </w:r>
          </w:p>
        </w:tc>
        <w:tc>
          <w:tcPr>
            <w:tcW w:w="3544" w:type="dxa"/>
          </w:tcPr>
          <w:p w14:paraId="0FE7E482" w14:textId="77777777" w:rsidR="007157A6" w:rsidRPr="007157A6" w:rsidRDefault="007157A6" w:rsidP="007157A6">
            <w:pPr>
              <w:rPr>
                <w:lang w:val="en-GB"/>
              </w:rPr>
            </w:pPr>
            <w:r w:rsidRPr="007157A6">
              <w:rPr>
                <w:lang w:val="en-GB"/>
              </w:rPr>
              <w:t>Will foster Sustainable Finance in Germany</w:t>
            </w:r>
          </w:p>
        </w:tc>
        <w:tc>
          <w:tcPr>
            <w:tcW w:w="418" w:type="dxa"/>
          </w:tcPr>
          <w:p w14:paraId="4E361941" w14:textId="77777777" w:rsidR="007157A6" w:rsidRPr="007157A6" w:rsidRDefault="007157A6" w:rsidP="007157A6">
            <w:pPr>
              <w:rPr>
                <w:lang w:val="en-GB"/>
              </w:rPr>
            </w:pPr>
          </w:p>
        </w:tc>
        <w:tc>
          <w:tcPr>
            <w:tcW w:w="418" w:type="dxa"/>
          </w:tcPr>
          <w:p w14:paraId="0C73BE24" w14:textId="77777777" w:rsidR="007157A6" w:rsidRPr="007157A6" w:rsidRDefault="007157A6" w:rsidP="007157A6">
            <w:pPr>
              <w:rPr>
                <w:lang w:val="en-GB"/>
              </w:rPr>
            </w:pPr>
          </w:p>
        </w:tc>
        <w:tc>
          <w:tcPr>
            <w:tcW w:w="418" w:type="dxa"/>
          </w:tcPr>
          <w:p w14:paraId="4F52114A" w14:textId="77777777" w:rsidR="007157A6" w:rsidRPr="007157A6" w:rsidRDefault="007157A6" w:rsidP="007157A6">
            <w:pPr>
              <w:rPr>
                <w:lang w:val="en-GB"/>
              </w:rPr>
            </w:pPr>
          </w:p>
        </w:tc>
        <w:tc>
          <w:tcPr>
            <w:tcW w:w="418" w:type="dxa"/>
          </w:tcPr>
          <w:p w14:paraId="1A6E3627" w14:textId="77777777" w:rsidR="007157A6" w:rsidRPr="007157A6" w:rsidRDefault="007157A6" w:rsidP="007157A6">
            <w:pPr>
              <w:rPr>
                <w:lang w:val="en-GB"/>
              </w:rPr>
            </w:pPr>
          </w:p>
        </w:tc>
        <w:tc>
          <w:tcPr>
            <w:tcW w:w="419" w:type="dxa"/>
          </w:tcPr>
          <w:p w14:paraId="112029B9" w14:textId="77777777" w:rsidR="007157A6" w:rsidRPr="007157A6" w:rsidRDefault="007157A6" w:rsidP="007157A6">
            <w:pPr>
              <w:rPr>
                <w:lang w:val="en-GB"/>
              </w:rPr>
            </w:pPr>
          </w:p>
        </w:tc>
      </w:tr>
      <w:tr w:rsidR="007157A6" w:rsidRPr="007157A6" w14:paraId="0A3F6EB9" w14:textId="77777777" w:rsidTr="00C850ED">
        <w:trPr>
          <w:trHeight w:val="933"/>
        </w:trPr>
        <w:tc>
          <w:tcPr>
            <w:tcW w:w="8642" w:type="dxa"/>
            <w:vMerge/>
          </w:tcPr>
          <w:p w14:paraId="40357A51" w14:textId="77777777" w:rsidR="007157A6" w:rsidRPr="007157A6" w:rsidRDefault="007157A6" w:rsidP="007157A6">
            <w:pPr>
              <w:rPr>
                <w:lang w:val="en-GB"/>
              </w:rPr>
            </w:pPr>
          </w:p>
        </w:tc>
        <w:tc>
          <w:tcPr>
            <w:tcW w:w="3544" w:type="dxa"/>
          </w:tcPr>
          <w:p w14:paraId="5EA24406" w14:textId="77777777" w:rsidR="007157A6" w:rsidRPr="007157A6" w:rsidRDefault="007157A6" w:rsidP="007157A6">
            <w:pPr>
              <w:rPr>
                <w:lang w:val="en-GB"/>
              </w:rPr>
            </w:pPr>
            <w:r w:rsidRPr="007157A6">
              <w:rPr>
                <w:lang w:val="en-GB"/>
              </w:rPr>
              <w:t>Level of ambition</w:t>
            </w:r>
          </w:p>
        </w:tc>
        <w:tc>
          <w:tcPr>
            <w:tcW w:w="418" w:type="dxa"/>
          </w:tcPr>
          <w:p w14:paraId="121888C7" w14:textId="77777777" w:rsidR="007157A6" w:rsidRPr="007157A6" w:rsidRDefault="007157A6" w:rsidP="007157A6">
            <w:pPr>
              <w:rPr>
                <w:lang w:val="en-GB"/>
              </w:rPr>
            </w:pPr>
          </w:p>
        </w:tc>
        <w:tc>
          <w:tcPr>
            <w:tcW w:w="418" w:type="dxa"/>
          </w:tcPr>
          <w:p w14:paraId="5243F1AA" w14:textId="77777777" w:rsidR="007157A6" w:rsidRPr="007157A6" w:rsidRDefault="007157A6" w:rsidP="007157A6">
            <w:pPr>
              <w:rPr>
                <w:lang w:val="en-GB"/>
              </w:rPr>
            </w:pPr>
          </w:p>
        </w:tc>
        <w:tc>
          <w:tcPr>
            <w:tcW w:w="418" w:type="dxa"/>
          </w:tcPr>
          <w:p w14:paraId="139AE984" w14:textId="77777777" w:rsidR="007157A6" w:rsidRPr="007157A6" w:rsidRDefault="007157A6" w:rsidP="007157A6">
            <w:pPr>
              <w:rPr>
                <w:lang w:val="en-GB"/>
              </w:rPr>
            </w:pPr>
          </w:p>
        </w:tc>
        <w:tc>
          <w:tcPr>
            <w:tcW w:w="418" w:type="dxa"/>
          </w:tcPr>
          <w:p w14:paraId="38FD2FDD" w14:textId="77777777" w:rsidR="007157A6" w:rsidRPr="007157A6" w:rsidRDefault="007157A6" w:rsidP="007157A6">
            <w:pPr>
              <w:rPr>
                <w:lang w:val="en-GB"/>
              </w:rPr>
            </w:pPr>
          </w:p>
        </w:tc>
        <w:tc>
          <w:tcPr>
            <w:tcW w:w="419" w:type="dxa"/>
          </w:tcPr>
          <w:p w14:paraId="642212FD" w14:textId="77777777" w:rsidR="007157A6" w:rsidRPr="007157A6" w:rsidRDefault="007157A6" w:rsidP="007157A6">
            <w:pPr>
              <w:rPr>
                <w:lang w:val="en-GB"/>
              </w:rPr>
            </w:pPr>
          </w:p>
        </w:tc>
      </w:tr>
      <w:tr w:rsidR="007157A6" w:rsidRPr="007157A6" w14:paraId="4D6C7500" w14:textId="77777777" w:rsidTr="00C850ED">
        <w:trPr>
          <w:trHeight w:val="932"/>
        </w:trPr>
        <w:tc>
          <w:tcPr>
            <w:tcW w:w="8642" w:type="dxa"/>
            <w:vMerge/>
          </w:tcPr>
          <w:p w14:paraId="3E875785" w14:textId="77777777" w:rsidR="007157A6" w:rsidRPr="007157A6" w:rsidRDefault="007157A6" w:rsidP="007157A6">
            <w:pPr>
              <w:rPr>
                <w:lang w:val="en-GB"/>
              </w:rPr>
            </w:pPr>
          </w:p>
        </w:tc>
        <w:tc>
          <w:tcPr>
            <w:tcW w:w="3544" w:type="dxa"/>
          </w:tcPr>
          <w:p w14:paraId="69355883" w14:textId="77777777" w:rsidR="007157A6" w:rsidRPr="007157A6" w:rsidRDefault="007157A6" w:rsidP="007157A6">
            <w:pPr>
              <w:rPr>
                <w:lang w:val="en-GB"/>
              </w:rPr>
            </w:pPr>
            <w:r w:rsidRPr="007157A6">
              <w:rPr>
                <w:lang w:val="en-GB"/>
              </w:rPr>
              <w:t>Practicability</w:t>
            </w:r>
          </w:p>
        </w:tc>
        <w:tc>
          <w:tcPr>
            <w:tcW w:w="418" w:type="dxa"/>
          </w:tcPr>
          <w:p w14:paraId="3E919991" w14:textId="77777777" w:rsidR="007157A6" w:rsidRPr="007157A6" w:rsidRDefault="007157A6" w:rsidP="007157A6">
            <w:pPr>
              <w:rPr>
                <w:lang w:val="en-GB"/>
              </w:rPr>
            </w:pPr>
          </w:p>
        </w:tc>
        <w:tc>
          <w:tcPr>
            <w:tcW w:w="418" w:type="dxa"/>
          </w:tcPr>
          <w:p w14:paraId="72BD32CE" w14:textId="77777777" w:rsidR="007157A6" w:rsidRPr="007157A6" w:rsidRDefault="007157A6" w:rsidP="007157A6">
            <w:pPr>
              <w:rPr>
                <w:lang w:val="en-GB"/>
              </w:rPr>
            </w:pPr>
          </w:p>
        </w:tc>
        <w:tc>
          <w:tcPr>
            <w:tcW w:w="418" w:type="dxa"/>
          </w:tcPr>
          <w:p w14:paraId="5F52EE96" w14:textId="77777777" w:rsidR="007157A6" w:rsidRPr="007157A6" w:rsidRDefault="007157A6" w:rsidP="007157A6">
            <w:pPr>
              <w:rPr>
                <w:lang w:val="en-GB"/>
              </w:rPr>
            </w:pPr>
          </w:p>
        </w:tc>
        <w:tc>
          <w:tcPr>
            <w:tcW w:w="418" w:type="dxa"/>
          </w:tcPr>
          <w:p w14:paraId="0B97E41C" w14:textId="77777777" w:rsidR="007157A6" w:rsidRPr="007157A6" w:rsidRDefault="007157A6" w:rsidP="007157A6">
            <w:pPr>
              <w:rPr>
                <w:lang w:val="en-GB"/>
              </w:rPr>
            </w:pPr>
          </w:p>
        </w:tc>
        <w:tc>
          <w:tcPr>
            <w:tcW w:w="419" w:type="dxa"/>
          </w:tcPr>
          <w:p w14:paraId="5D16C410" w14:textId="77777777" w:rsidR="007157A6" w:rsidRPr="007157A6" w:rsidRDefault="007157A6" w:rsidP="007157A6">
            <w:pPr>
              <w:rPr>
                <w:lang w:val="en-GB"/>
              </w:rPr>
            </w:pPr>
          </w:p>
        </w:tc>
      </w:tr>
      <w:tr w:rsidR="007157A6" w:rsidRPr="007157A6" w14:paraId="55F98FC1" w14:textId="77777777" w:rsidTr="00C850ED">
        <w:trPr>
          <w:trHeight w:val="933"/>
        </w:trPr>
        <w:tc>
          <w:tcPr>
            <w:tcW w:w="8642" w:type="dxa"/>
            <w:vMerge/>
          </w:tcPr>
          <w:p w14:paraId="54D15D03" w14:textId="77777777" w:rsidR="007157A6" w:rsidRPr="007157A6" w:rsidRDefault="007157A6" w:rsidP="007157A6">
            <w:pPr>
              <w:rPr>
                <w:lang w:val="en-GB"/>
              </w:rPr>
            </w:pPr>
          </w:p>
        </w:tc>
        <w:tc>
          <w:tcPr>
            <w:tcW w:w="3544" w:type="dxa"/>
          </w:tcPr>
          <w:p w14:paraId="7EEA180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75A89982" w14:textId="77777777" w:rsidR="007157A6" w:rsidRPr="007157A6" w:rsidRDefault="007157A6" w:rsidP="007157A6">
            <w:pPr>
              <w:rPr>
                <w:lang w:val="en-GB"/>
              </w:rPr>
            </w:pPr>
          </w:p>
        </w:tc>
        <w:tc>
          <w:tcPr>
            <w:tcW w:w="418" w:type="dxa"/>
          </w:tcPr>
          <w:p w14:paraId="60160FD4" w14:textId="77777777" w:rsidR="007157A6" w:rsidRPr="007157A6" w:rsidRDefault="007157A6" w:rsidP="007157A6">
            <w:pPr>
              <w:rPr>
                <w:lang w:val="en-GB"/>
              </w:rPr>
            </w:pPr>
          </w:p>
        </w:tc>
        <w:tc>
          <w:tcPr>
            <w:tcW w:w="418" w:type="dxa"/>
          </w:tcPr>
          <w:p w14:paraId="496A1EBE" w14:textId="77777777" w:rsidR="007157A6" w:rsidRPr="007157A6" w:rsidRDefault="007157A6" w:rsidP="007157A6">
            <w:pPr>
              <w:rPr>
                <w:lang w:val="en-GB"/>
              </w:rPr>
            </w:pPr>
          </w:p>
        </w:tc>
        <w:tc>
          <w:tcPr>
            <w:tcW w:w="418" w:type="dxa"/>
          </w:tcPr>
          <w:p w14:paraId="072A39FD" w14:textId="77777777" w:rsidR="007157A6" w:rsidRPr="007157A6" w:rsidRDefault="007157A6" w:rsidP="007157A6">
            <w:pPr>
              <w:rPr>
                <w:lang w:val="en-GB"/>
              </w:rPr>
            </w:pPr>
          </w:p>
        </w:tc>
        <w:tc>
          <w:tcPr>
            <w:tcW w:w="419" w:type="dxa"/>
          </w:tcPr>
          <w:p w14:paraId="79FF6604" w14:textId="77777777" w:rsidR="007157A6" w:rsidRPr="007157A6" w:rsidRDefault="007157A6" w:rsidP="007157A6">
            <w:pPr>
              <w:rPr>
                <w:lang w:val="en-GB"/>
              </w:rPr>
            </w:pPr>
          </w:p>
        </w:tc>
      </w:tr>
      <w:tr w:rsidR="007157A6" w:rsidRPr="007157A6" w14:paraId="1BD126C2" w14:textId="77777777" w:rsidTr="00C850ED">
        <w:tc>
          <w:tcPr>
            <w:tcW w:w="8642" w:type="dxa"/>
            <w:shd w:val="clear" w:color="auto" w:fill="D9D9D9" w:themeFill="background1" w:themeFillShade="D9"/>
          </w:tcPr>
          <w:p w14:paraId="620CB2F5"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1C3A44A9"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0268D134"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0A2E6826"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315E2C63"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04D98D61"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2911680B" w14:textId="77777777" w:rsidR="007157A6" w:rsidRPr="007157A6" w:rsidRDefault="007157A6" w:rsidP="007157A6">
            <w:pPr>
              <w:rPr>
                <w:b/>
                <w:lang w:val="en-GB"/>
              </w:rPr>
            </w:pPr>
            <w:r w:rsidRPr="007157A6">
              <w:rPr>
                <w:b/>
                <w:lang w:val="en-GB"/>
              </w:rPr>
              <w:t>1</w:t>
            </w:r>
          </w:p>
        </w:tc>
      </w:tr>
      <w:tr w:rsidR="007157A6" w:rsidRPr="007157A6" w14:paraId="3C4210D1" w14:textId="77777777" w:rsidTr="00C850ED">
        <w:tc>
          <w:tcPr>
            <w:tcW w:w="8642" w:type="dxa"/>
            <w:vMerge w:val="restart"/>
          </w:tcPr>
          <w:p w14:paraId="41C89783" w14:textId="77777777" w:rsidR="007157A6" w:rsidRPr="007157A6" w:rsidRDefault="007157A6" w:rsidP="007157A6">
            <w:pPr>
              <w:rPr>
                <w:lang w:val="en-GB"/>
              </w:rPr>
            </w:pPr>
            <w:r w:rsidRPr="007157A6">
              <w:rPr>
                <w:lang w:val="en-GB"/>
              </w:rPr>
              <w:t>Time-limited governmental incentives for transformation-conform and/or sustainable investment and savings products (for instance through (limited) tax incentives or allowances) would boost the demand for and familiarity with such products. This would help to bring about a rapid, widespread effect and create an incentive for retooling conventional financial product offerings.</w:t>
            </w:r>
          </w:p>
        </w:tc>
        <w:tc>
          <w:tcPr>
            <w:tcW w:w="3544" w:type="dxa"/>
          </w:tcPr>
          <w:p w14:paraId="4769532B" w14:textId="77777777" w:rsidR="007157A6" w:rsidRPr="007157A6" w:rsidRDefault="007157A6" w:rsidP="007157A6">
            <w:pPr>
              <w:rPr>
                <w:lang w:val="en-GB"/>
              </w:rPr>
            </w:pPr>
            <w:r w:rsidRPr="007157A6">
              <w:rPr>
                <w:lang w:val="en-GB"/>
              </w:rPr>
              <w:t>Will foster Sustainable Finance in Germany</w:t>
            </w:r>
          </w:p>
        </w:tc>
        <w:tc>
          <w:tcPr>
            <w:tcW w:w="418" w:type="dxa"/>
          </w:tcPr>
          <w:p w14:paraId="2EA88139" w14:textId="77777777" w:rsidR="007157A6" w:rsidRPr="007157A6" w:rsidRDefault="007157A6" w:rsidP="007157A6">
            <w:pPr>
              <w:rPr>
                <w:lang w:val="en-GB"/>
              </w:rPr>
            </w:pPr>
          </w:p>
        </w:tc>
        <w:tc>
          <w:tcPr>
            <w:tcW w:w="418" w:type="dxa"/>
          </w:tcPr>
          <w:p w14:paraId="11723111" w14:textId="77777777" w:rsidR="007157A6" w:rsidRPr="007157A6" w:rsidRDefault="007157A6" w:rsidP="007157A6">
            <w:pPr>
              <w:rPr>
                <w:lang w:val="en-GB"/>
              </w:rPr>
            </w:pPr>
          </w:p>
        </w:tc>
        <w:tc>
          <w:tcPr>
            <w:tcW w:w="418" w:type="dxa"/>
          </w:tcPr>
          <w:p w14:paraId="64D105FB" w14:textId="77777777" w:rsidR="007157A6" w:rsidRPr="007157A6" w:rsidRDefault="007157A6" w:rsidP="007157A6">
            <w:pPr>
              <w:rPr>
                <w:lang w:val="en-GB"/>
              </w:rPr>
            </w:pPr>
          </w:p>
        </w:tc>
        <w:tc>
          <w:tcPr>
            <w:tcW w:w="418" w:type="dxa"/>
          </w:tcPr>
          <w:p w14:paraId="41DF5FDA" w14:textId="77777777" w:rsidR="007157A6" w:rsidRPr="007157A6" w:rsidRDefault="007157A6" w:rsidP="007157A6">
            <w:pPr>
              <w:rPr>
                <w:lang w:val="en-GB"/>
              </w:rPr>
            </w:pPr>
          </w:p>
        </w:tc>
        <w:tc>
          <w:tcPr>
            <w:tcW w:w="419" w:type="dxa"/>
          </w:tcPr>
          <w:p w14:paraId="316CF6BA" w14:textId="77777777" w:rsidR="007157A6" w:rsidRPr="007157A6" w:rsidRDefault="007157A6" w:rsidP="007157A6">
            <w:pPr>
              <w:rPr>
                <w:lang w:val="en-GB"/>
              </w:rPr>
            </w:pPr>
          </w:p>
        </w:tc>
      </w:tr>
      <w:tr w:rsidR="007157A6" w:rsidRPr="007157A6" w14:paraId="11EE1741" w14:textId="77777777" w:rsidTr="00C850ED">
        <w:tc>
          <w:tcPr>
            <w:tcW w:w="8642" w:type="dxa"/>
            <w:vMerge/>
          </w:tcPr>
          <w:p w14:paraId="4D8BF432" w14:textId="77777777" w:rsidR="007157A6" w:rsidRPr="007157A6" w:rsidRDefault="007157A6" w:rsidP="007157A6">
            <w:pPr>
              <w:rPr>
                <w:lang w:val="en-GB"/>
              </w:rPr>
            </w:pPr>
          </w:p>
        </w:tc>
        <w:tc>
          <w:tcPr>
            <w:tcW w:w="3544" w:type="dxa"/>
          </w:tcPr>
          <w:p w14:paraId="0D240CF1" w14:textId="77777777" w:rsidR="007157A6" w:rsidRPr="007157A6" w:rsidRDefault="007157A6" w:rsidP="007157A6">
            <w:pPr>
              <w:rPr>
                <w:lang w:val="en-GB"/>
              </w:rPr>
            </w:pPr>
            <w:r w:rsidRPr="007157A6">
              <w:rPr>
                <w:lang w:val="en-GB"/>
              </w:rPr>
              <w:t>Level of ambition</w:t>
            </w:r>
          </w:p>
        </w:tc>
        <w:tc>
          <w:tcPr>
            <w:tcW w:w="418" w:type="dxa"/>
          </w:tcPr>
          <w:p w14:paraId="3B1126CF" w14:textId="77777777" w:rsidR="007157A6" w:rsidRPr="007157A6" w:rsidRDefault="007157A6" w:rsidP="007157A6">
            <w:pPr>
              <w:rPr>
                <w:lang w:val="en-GB"/>
              </w:rPr>
            </w:pPr>
          </w:p>
        </w:tc>
        <w:tc>
          <w:tcPr>
            <w:tcW w:w="418" w:type="dxa"/>
          </w:tcPr>
          <w:p w14:paraId="1C0AA1F4" w14:textId="77777777" w:rsidR="007157A6" w:rsidRPr="007157A6" w:rsidRDefault="007157A6" w:rsidP="007157A6">
            <w:pPr>
              <w:rPr>
                <w:lang w:val="en-GB"/>
              </w:rPr>
            </w:pPr>
          </w:p>
        </w:tc>
        <w:tc>
          <w:tcPr>
            <w:tcW w:w="418" w:type="dxa"/>
          </w:tcPr>
          <w:p w14:paraId="5EF3BD71" w14:textId="77777777" w:rsidR="007157A6" w:rsidRPr="007157A6" w:rsidRDefault="007157A6" w:rsidP="007157A6">
            <w:pPr>
              <w:rPr>
                <w:lang w:val="en-GB"/>
              </w:rPr>
            </w:pPr>
          </w:p>
        </w:tc>
        <w:tc>
          <w:tcPr>
            <w:tcW w:w="418" w:type="dxa"/>
          </w:tcPr>
          <w:p w14:paraId="47B793E8" w14:textId="77777777" w:rsidR="007157A6" w:rsidRPr="007157A6" w:rsidRDefault="007157A6" w:rsidP="007157A6">
            <w:pPr>
              <w:rPr>
                <w:lang w:val="en-GB"/>
              </w:rPr>
            </w:pPr>
          </w:p>
        </w:tc>
        <w:tc>
          <w:tcPr>
            <w:tcW w:w="419" w:type="dxa"/>
          </w:tcPr>
          <w:p w14:paraId="68B20EC9" w14:textId="77777777" w:rsidR="007157A6" w:rsidRPr="007157A6" w:rsidRDefault="007157A6" w:rsidP="007157A6">
            <w:pPr>
              <w:rPr>
                <w:lang w:val="en-GB"/>
              </w:rPr>
            </w:pPr>
          </w:p>
        </w:tc>
      </w:tr>
      <w:tr w:rsidR="007157A6" w:rsidRPr="007157A6" w14:paraId="50D2890C" w14:textId="77777777" w:rsidTr="00C850ED">
        <w:tc>
          <w:tcPr>
            <w:tcW w:w="8642" w:type="dxa"/>
            <w:vMerge/>
          </w:tcPr>
          <w:p w14:paraId="75FED11B" w14:textId="77777777" w:rsidR="007157A6" w:rsidRPr="007157A6" w:rsidRDefault="007157A6" w:rsidP="007157A6">
            <w:pPr>
              <w:rPr>
                <w:lang w:val="en-GB"/>
              </w:rPr>
            </w:pPr>
          </w:p>
        </w:tc>
        <w:tc>
          <w:tcPr>
            <w:tcW w:w="3544" w:type="dxa"/>
          </w:tcPr>
          <w:p w14:paraId="4BA8F75D" w14:textId="77777777" w:rsidR="007157A6" w:rsidRPr="007157A6" w:rsidRDefault="007157A6" w:rsidP="007157A6">
            <w:pPr>
              <w:rPr>
                <w:lang w:val="en-GB"/>
              </w:rPr>
            </w:pPr>
            <w:r w:rsidRPr="007157A6">
              <w:rPr>
                <w:lang w:val="en-GB"/>
              </w:rPr>
              <w:t>Practicability</w:t>
            </w:r>
          </w:p>
        </w:tc>
        <w:tc>
          <w:tcPr>
            <w:tcW w:w="418" w:type="dxa"/>
          </w:tcPr>
          <w:p w14:paraId="2C267CAF" w14:textId="77777777" w:rsidR="007157A6" w:rsidRPr="007157A6" w:rsidRDefault="007157A6" w:rsidP="007157A6">
            <w:pPr>
              <w:rPr>
                <w:lang w:val="en-GB"/>
              </w:rPr>
            </w:pPr>
          </w:p>
        </w:tc>
        <w:tc>
          <w:tcPr>
            <w:tcW w:w="418" w:type="dxa"/>
          </w:tcPr>
          <w:p w14:paraId="5B8A0D81" w14:textId="77777777" w:rsidR="007157A6" w:rsidRPr="007157A6" w:rsidRDefault="007157A6" w:rsidP="007157A6">
            <w:pPr>
              <w:rPr>
                <w:lang w:val="en-GB"/>
              </w:rPr>
            </w:pPr>
          </w:p>
        </w:tc>
        <w:tc>
          <w:tcPr>
            <w:tcW w:w="418" w:type="dxa"/>
          </w:tcPr>
          <w:p w14:paraId="5A34F616" w14:textId="77777777" w:rsidR="007157A6" w:rsidRPr="007157A6" w:rsidRDefault="007157A6" w:rsidP="007157A6">
            <w:pPr>
              <w:rPr>
                <w:lang w:val="en-GB"/>
              </w:rPr>
            </w:pPr>
          </w:p>
        </w:tc>
        <w:tc>
          <w:tcPr>
            <w:tcW w:w="418" w:type="dxa"/>
          </w:tcPr>
          <w:p w14:paraId="3CD19D3B" w14:textId="77777777" w:rsidR="007157A6" w:rsidRPr="007157A6" w:rsidRDefault="007157A6" w:rsidP="007157A6">
            <w:pPr>
              <w:rPr>
                <w:lang w:val="en-GB"/>
              </w:rPr>
            </w:pPr>
          </w:p>
        </w:tc>
        <w:tc>
          <w:tcPr>
            <w:tcW w:w="419" w:type="dxa"/>
          </w:tcPr>
          <w:p w14:paraId="5089C835" w14:textId="77777777" w:rsidR="007157A6" w:rsidRPr="007157A6" w:rsidRDefault="007157A6" w:rsidP="007157A6">
            <w:pPr>
              <w:rPr>
                <w:lang w:val="en-GB"/>
              </w:rPr>
            </w:pPr>
          </w:p>
        </w:tc>
      </w:tr>
      <w:tr w:rsidR="007157A6" w:rsidRPr="007157A6" w14:paraId="21322907" w14:textId="77777777" w:rsidTr="00C850ED">
        <w:tc>
          <w:tcPr>
            <w:tcW w:w="8642" w:type="dxa"/>
            <w:vMerge/>
          </w:tcPr>
          <w:p w14:paraId="37E06B80" w14:textId="77777777" w:rsidR="007157A6" w:rsidRPr="007157A6" w:rsidRDefault="007157A6" w:rsidP="007157A6">
            <w:pPr>
              <w:rPr>
                <w:lang w:val="en-GB"/>
              </w:rPr>
            </w:pPr>
          </w:p>
        </w:tc>
        <w:tc>
          <w:tcPr>
            <w:tcW w:w="3544" w:type="dxa"/>
          </w:tcPr>
          <w:p w14:paraId="3788D4AF"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754067B" w14:textId="77777777" w:rsidR="007157A6" w:rsidRPr="007157A6" w:rsidRDefault="007157A6" w:rsidP="007157A6">
            <w:pPr>
              <w:rPr>
                <w:lang w:val="en-GB"/>
              </w:rPr>
            </w:pPr>
          </w:p>
        </w:tc>
        <w:tc>
          <w:tcPr>
            <w:tcW w:w="418" w:type="dxa"/>
          </w:tcPr>
          <w:p w14:paraId="0D896C69" w14:textId="77777777" w:rsidR="007157A6" w:rsidRPr="007157A6" w:rsidRDefault="007157A6" w:rsidP="007157A6">
            <w:pPr>
              <w:rPr>
                <w:lang w:val="en-GB"/>
              </w:rPr>
            </w:pPr>
          </w:p>
        </w:tc>
        <w:tc>
          <w:tcPr>
            <w:tcW w:w="418" w:type="dxa"/>
          </w:tcPr>
          <w:p w14:paraId="6C10B5CF" w14:textId="77777777" w:rsidR="007157A6" w:rsidRPr="007157A6" w:rsidRDefault="007157A6" w:rsidP="007157A6">
            <w:pPr>
              <w:rPr>
                <w:lang w:val="en-GB"/>
              </w:rPr>
            </w:pPr>
          </w:p>
        </w:tc>
        <w:tc>
          <w:tcPr>
            <w:tcW w:w="418" w:type="dxa"/>
          </w:tcPr>
          <w:p w14:paraId="581BB2D8" w14:textId="77777777" w:rsidR="007157A6" w:rsidRPr="007157A6" w:rsidRDefault="007157A6" w:rsidP="007157A6">
            <w:pPr>
              <w:rPr>
                <w:lang w:val="en-GB"/>
              </w:rPr>
            </w:pPr>
          </w:p>
        </w:tc>
        <w:tc>
          <w:tcPr>
            <w:tcW w:w="419" w:type="dxa"/>
          </w:tcPr>
          <w:p w14:paraId="39A8F0FF" w14:textId="77777777" w:rsidR="007157A6" w:rsidRPr="007157A6" w:rsidRDefault="007157A6" w:rsidP="007157A6">
            <w:pPr>
              <w:rPr>
                <w:lang w:val="en-GB"/>
              </w:rPr>
            </w:pPr>
          </w:p>
        </w:tc>
      </w:tr>
    </w:tbl>
    <w:p w14:paraId="1C5CA279" w14:textId="77777777" w:rsidR="00717905" w:rsidRDefault="00717905"/>
    <w:tbl>
      <w:tblPr>
        <w:tblStyle w:val="TableGrid"/>
        <w:tblW w:w="0" w:type="auto"/>
        <w:tblLayout w:type="fixed"/>
        <w:tblLook w:val="04A0" w:firstRow="1" w:lastRow="0" w:firstColumn="1" w:lastColumn="0" w:noHBand="0" w:noVBand="1"/>
      </w:tblPr>
      <w:tblGrid>
        <w:gridCol w:w="8642"/>
        <w:gridCol w:w="3544"/>
        <w:gridCol w:w="418"/>
        <w:gridCol w:w="418"/>
        <w:gridCol w:w="418"/>
        <w:gridCol w:w="418"/>
        <w:gridCol w:w="419"/>
      </w:tblGrid>
      <w:tr w:rsidR="007157A6" w:rsidRPr="007157A6" w14:paraId="2CF41F51" w14:textId="77777777" w:rsidTr="00C850ED">
        <w:tc>
          <w:tcPr>
            <w:tcW w:w="8642" w:type="dxa"/>
            <w:shd w:val="clear" w:color="auto" w:fill="D9D9D9" w:themeFill="background1" w:themeFillShade="D9"/>
          </w:tcPr>
          <w:p w14:paraId="28D1C6E3" w14:textId="77777777" w:rsidR="007157A6" w:rsidRPr="007157A6" w:rsidRDefault="007157A6" w:rsidP="007157A6">
            <w:pPr>
              <w:rPr>
                <w:lang w:val="en-GB"/>
              </w:rPr>
            </w:pPr>
            <w:r w:rsidRPr="007157A6">
              <w:rPr>
                <w:b/>
                <w:lang w:val="en-GB"/>
              </w:rPr>
              <w:lastRenderedPageBreak/>
              <w:t>Approach to action</w:t>
            </w:r>
          </w:p>
        </w:tc>
        <w:tc>
          <w:tcPr>
            <w:tcW w:w="3544" w:type="dxa"/>
            <w:shd w:val="clear" w:color="auto" w:fill="D9D9D9" w:themeFill="background1" w:themeFillShade="D9"/>
          </w:tcPr>
          <w:p w14:paraId="12C7BE85"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3E4B5CF"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81F703C"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92183D0"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15CAB07C"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BE14A82" w14:textId="77777777" w:rsidR="007157A6" w:rsidRPr="007157A6" w:rsidRDefault="007157A6" w:rsidP="007157A6">
            <w:pPr>
              <w:rPr>
                <w:lang w:val="en-GB"/>
              </w:rPr>
            </w:pPr>
            <w:r w:rsidRPr="007157A6">
              <w:rPr>
                <w:b/>
                <w:lang w:val="en-GB"/>
              </w:rPr>
              <w:t>1</w:t>
            </w:r>
          </w:p>
        </w:tc>
      </w:tr>
      <w:tr w:rsidR="007157A6" w:rsidRPr="007157A6" w14:paraId="4AF83034" w14:textId="77777777" w:rsidTr="00C850ED">
        <w:tc>
          <w:tcPr>
            <w:tcW w:w="8642" w:type="dxa"/>
            <w:vMerge w:val="restart"/>
          </w:tcPr>
          <w:p w14:paraId="2C6221D8" w14:textId="77777777" w:rsidR="007157A6" w:rsidRPr="007157A6" w:rsidRDefault="007157A6" w:rsidP="007157A6">
            <w:pPr>
              <w:rPr>
                <w:lang w:val="en-GB"/>
              </w:rPr>
            </w:pPr>
            <w:r w:rsidRPr="007157A6">
              <w:rPr>
                <w:lang w:val="en-GB"/>
              </w:rPr>
              <w:t>The Sustainable Development Goals of the United Nations should be reflected in the German federal government’s budget in order to create a solid foundation for the issuance of sustainable and/or green German government securities. Issuing green bonds has a signalling effect that should not be underestimated. However, doing so will be only effectively push the transformation if the introduction of green or sustainable bonds goes hand in hand with a change in budgetary allocations.</w:t>
            </w:r>
          </w:p>
        </w:tc>
        <w:tc>
          <w:tcPr>
            <w:tcW w:w="3544" w:type="dxa"/>
          </w:tcPr>
          <w:p w14:paraId="4BB936E2" w14:textId="77777777" w:rsidR="007157A6" w:rsidRPr="007157A6" w:rsidRDefault="007157A6" w:rsidP="007157A6">
            <w:pPr>
              <w:rPr>
                <w:lang w:val="en-GB"/>
              </w:rPr>
            </w:pPr>
            <w:r w:rsidRPr="007157A6">
              <w:rPr>
                <w:lang w:val="en-GB"/>
              </w:rPr>
              <w:t>Will foster Sustainable Finance in Germany</w:t>
            </w:r>
          </w:p>
        </w:tc>
        <w:tc>
          <w:tcPr>
            <w:tcW w:w="418" w:type="dxa"/>
          </w:tcPr>
          <w:p w14:paraId="1B7B46A8" w14:textId="77777777" w:rsidR="007157A6" w:rsidRPr="007157A6" w:rsidRDefault="007157A6" w:rsidP="007157A6">
            <w:pPr>
              <w:rPr>
                <w:lang w:val="en-GB"/>
              </w:rPr>
            </w:pPr>
          </w:p>
        </w:tc>
        <w:tc>
          <w:tcPr>
            <w:tcW w:w="418" w:type="dxa"/>
          </w:tcPr>
          <w:p w14:paraId="63526A9A" w14:textId="77777777" w:rsidR="007157A6" w:rsidRPr="007157A6" w:rsidRDefault="007157A6" w:rsidP="007157A6">
            <w:pPr>
              <w:rPr>
                <w:lang w:val="en-GB"/>
              </w:rPr>
            </w:pPr>
          </w:p>
        </w:tc>
        <w:tc>
          <w:tcPr>
            <w:tcW w:w="418" w:type="dxa"/>
          </w:tcPr>
          <w:p w14:paraId="6BD09266" w14:textId="77777777" w:rsidR="007157A6" w:rsidRPr="007157A6" w:rsidRDefault="007157A6" w:rsidP="007157A6">
            <w:pPr>
              <w:rPr>
                <w:lang w:val="en-GB"/>
              </w:rPr>
            </w:pPr>
          </w:p>
        </w:tc>
        <w:tc>
          <w:tcPr>
            <w:tcW w:w="418" w:type="dxa"/>
          </w:tcPr>
          <w:p w14:paraId="3B8D47F2" w14:textId="77777777" w:rsidR="007157A6" w:rsidRPr="007157A6" w:rsidRDefault="007157A6" w:rsidP="007157A6">
            <w:pPr>
              <w:rPr>
                <w:lang w:val="en-GB"/>
              </w:rPr>
            </w:pPr>
          </w:p>
        </w:tc>
        <w:tc>
          <w:tcPr>
            <w:tcW w:w="419" w:type="dxa"/>
          </w:tcPr>
          <w:p w14:paraId="360DD02D" w14:textId="77777777" w:rsidR="007157A6" w:rsidRPr="007157A6" w:rsidRDefault="007157A6" w:rsidP="007157A6">
            <w:pPr>
              <w:rPr>
                <w:lang w:val="en-GB"/>
              </w:rPr>
            </w:pPr>
          </w:p>
        </w:tc>
      </w:tr>
      <w:tr w:rsidR="007157A6" w:rsidRPr="007157A6" w14:paraId="7775BE8C" w14:textId="77777777" w:rsidTr="00C850ED">
        <w:tc>
          <w:tcPr>
            <w:tcW w:w="8642" w:type="dxa"/>
            <w:vMerge/>
          </w:tcPr>
          <w:p w14:paraId="2E5E1D46" w14:textId="77777777" w:rsidR="007157A6" w:rsidRPr="007157A6" w:rsidRDefault="007157A6" w:rsidP="007157A6">
            <w:pPr>
              <w:rPr>
                <w:lang w:val="en-GB"/>
              </w:rPr>
            </w:pPr>
          </w:p>
        </w:tc>
        <w:tc>
          <w:tcPr>
            <w:tcW w:w="3544" w:type="dxa"/>
          </w:tcPr>
          <w:p w14:paraId="6B95CCDC" w14:textId="77777777" w:rsidR="007157A6" w:rsidRPr="007157A6" w:rsidRDefault="007157A6" w:rsidP="007157A6">
            <w:pPr>
              <w:rPr>
                <w:lang w:val="en-GB"/>
              </w:rPr>
            </w:pPr>
            <w:r w:rsidRPr="007157A6">
              <w:rPr>
                <w:lang w:val="en-GB"/>
              </w:rPr>
              <w:t>Level of ambition</w:t>
            </w:r>
          </w:p>
        </w:tc>
        <w:tc>
          <w:tcPr>
            <w:tcW w:w="418" w:type="dxa"/>
          </w:tcPr>
          <w:p w14:paraId="6CE10A3B" w14:textId="77777777" w:rsidR="007157A6" w:rsidRPr="007157A6" w:rsidRDefault="007157A6" w:rsidP="007157A6">
            <w:pPr>
              <w:rPr>
                <w:lang w:val="en-GB"/>
              </w:rPr>
            </w:pPr>
          </w:p>
        </w:tc>
        <w:tc>
          <w:tcPr>
            <w:tcW w:w="418" w:type="dxa"/>
          </w:tcPr>
          <w:p w14:paraId="10527272" w14:textId="77777777" w:rsidR="007157A6" w:rsidRPr="007157A6" w:rsidRDefault="007157A6" w:rsidP="007157A6">
            <w:pPr>
              <w:rPr>
                <w:lang w:val="en-GB"/>
              </w:rPr>
            </w:pPr>
          </w:p>
        </w:tc>
        <w:tc>
          <w:tcPr>
            <w:tcW w:w="418" w:type="dxa"/>
          </w:tcPr>
          <w:p w14:paraId="45FD4060" w14:textId="77777777" w:rsidR="007157A6" w:rsidRPr="007157A6" w:rsidRDefault="007157A6" w:rsidP="007157A6">
            <w:pPr>
              <w:rPr>
                <w:lang w:val="en-GB"/>
              </w:rPr>
            </w:pPr>
          </w:p>
        </w:tc>
        <w:tc>
          <w:tcPr>
            <w:tcW w:w="418" w:type="dxa"/>
          </w:tcPr>
          <w:p w14:paraId="1F9B8F39" w14:textId="77777777" w:rsidR="007157A6" w:rsidRPr="007157A6" w:rsidRDefault="007157A6" w:rsidP="007157A6">
            <w:pPr>
              <w:rPr>
                <w:lang w:val="en-GB"/>
              </w:rPr>
            </w:pPr>
          </w:p>
        </w:tc>
        <w:tc>
          <w:tcPr>
            <w:tcW w:w="419" w:type="dxa"/>
          </w:tcPr>
          <w:p w14:paraId="2DD24A36" w14:textId="77777777" w:rsidR="007157A6" w:rsidRPr="007157A6" w:rsidRDefault="007157A6" w:rsidP="007157A6">
            <w:pPr>
              <w:rPr>
                <w:lang w:val="en-GB"/>
              </w:rPr>
            </w:pPr>
          </w:p>
        </w:tc>
      </w:tr>
      <w:tr w:rsidR="007157A6" w:rsidRPr="007157A6" w14:paraId="651CC1C9" w14:textId="77777777" w:rsidTr="00C850ED">
        <w:tc>
          <w:tcPr>
            <w:tcW w:w="8642" w:type="dxa"/>
            <w:vMerge/>
          </w:tcPr>
          <w:p w14:paraId="7B1C0541" w14:textId="77777777" w:rsidR="007157A6" w:rsidRPr="007157A6" w:rsidRDefault="007157A6" w:rsidP="007157A6">
            <w:pPr>
              <w:rPr>
                <w:lang w:val="en-GB"/>
              </w:rPr>
            </w:pPr>
          </w:p>
        </w:tc>
        <w:tc>
          <w:tcPr>
            <w:tcW w:w="3544" w:type="dxa"/>
          </w:tcPr>
          <w:p w14:paraId="7D028D50" w14:textId="77777777" w:rsidR="007157A6" w:rsidRPr="007157A6" w:rsidRDefault="007157A6" w:rsidP="007157A6">
            <w:pPr>
              <w:rPr>
                <w:lang w:val="en-GB"/>
              </w:rPr>
            </w:pPr>
            <w:r w:rsidRPr="007157A6">
              <w:rPr>
                <w:lang w:val="en-GB"/>
              </w:rPr>
              <w:t>Practicability</w:t>
            </w:r>
          </w:p>
        </w:tc>
        <w:tc>
          <w:tcPr>
            <w:tcW w:w="418" w:type="dxa"/>
          </w:tcPr>
          <w:p w14:paraId="65F43C42" w14:textId="77777777" w:rsidR="007157A6" w:rsidRPr="007157A6" w:rsidRDefault="007157A6" w:rsidP="007157A6">
            <w:pPr>
              <w:rPr>
                <w:lang w:val="en-GB"/>
              </w:rPr>
            </w:pPr>
          </w:p>
        </w:tc>
        <w:tc>
          <w:tcPr>
            <w:tcW w:w="418" w:type="dxa"/>
          </w:tcPr>
          <w:p w14:paraId="65B8961A" w14:textId="77777777" w:rsidR="007157A6" w:rsidRPr="007157A6" w:rsidRDefault="007157A6" w:rsidP="007157A6">
            <w:pPr>
              <w:rPr>
                <w:lang w:val="en-GB"/>
              </w:rPr>
            </w:pPr>
          </w:p>
        </w:tc>
        <w:tc>
          <w:tcPr>
            <w:tcW w:w="418" w:type="dxa"/>
          </w:tcPr>
          <w:p w14:paraId="75635363" w14:textId="77777777" w:rsidR="007157A6" w:rsidRPr="007157A6" w:rsidRDefault="007157A6" w:rsidP="007157A6">
            <w:pPr>
              <w:rPr>
                <w:lang w:val="en-GB"/>
              </w:rPr>
            </w:pPr>
          </w:p>
        </w:tc>
        <w:tc>
          <w:tcPr>
            <w:tcW w:w="418" w:type="dxa"/>
          </w:tcPr>
          <w:p w14:paraId="7E82E509" w14:textId="77777777" w:rsidR="007157A6" w:rsidRPr="007157A6" w:rsidRDefault="007157A6" w:rsidP="007157A6">
            <w:pPr>
              <w:rPr>
                <w:lang w:val="en-GB"/>
              </w:rPr>
            </w:pPr>
          </w:p>
        </w:tc>
        <w:tc>
          <w:tcPr>
            <w:tcW w:w="419" w:type="dxa"/>
          </w:tcPr>
          <w:p w14:paraId="7E999602" w14:textId="77777777" w:rsidR="007157A6" w:rsidRPr="007157A6" w:rsidRDefault="007157A6" w:rsidP="007157A6">
            <w:pPr>
              <w:rPr>
                <w:lang w:val="en-GB"/>
              </w:rPr>
            </w:pPr>
          </w:p>
        </w:tc>
      </w:tr>
      <w:tr w:rsidR="007157A6" w:rsidRPr="007157A6" w14:paraId="648B14EE" w14:textId="77777777" w:rsidTr="00C850ED">
        <w:tc>
          <w:tcPr>
            <w:tcW w:w="8642" w:type="dxa"/>
            <w:vMerge/>
          </w:tcPr>
          <w:p w14:paraId="1B432DFD" w14:textId="77777777" w:rsidR="007157A6" w:rsidRPr="007157A6" w:rsidRDefault="007157A6" w:rsidP="007157A6">
            <w:pPr>
              <w:rPr>
                <w:lang w:val="en-GB"/>
              </w:rPr>
            </w:pPr>
          </w:p>
        </w:tc>
        <w:tc>
          <w:tcPr>
            <w:tcW w:w="3544" w:type="dxa"/>
          </w:tcPr>
          <w:p w14:paraId="7B4800F3"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4595368" w14:textId="77777777" w:rsidR="007157A6" w:rsidRPr="007157A6" w:rsidRDefault="007157A6" w:rsidP="007157A6">
            <w:pPr>
              <w:rPr>
                <w:lang w:val="en-GB"/>
              </w:rPr>
            </w:pPr>
          </w:p>
        </w:tc>
        <w:tc>
          <w:tcPr>
            <w:tcW w:w="418" w:type="dxa"/>
          </w:tcPr>
          <w:p w14:paraId="41E16A43" w14:textId="77777777" w:rsidR="007157A6" w:rsidRPr="007157A6" w:rsidRDefault="007157A6" w:rsidP="007157A6">
            <w:pPr>
              <w:rPr>
                <w:lang w:val="en-GB"/>
              </w:rPr>
            </w:pPr>
          </w:p>
        </w:tc>
        <w:tc>
          <w:tcPr>
            <w:tcW w:w="418" w:type="dxa"/>
          </w:tcPr>
          <w:p w14:paraId="7FB66FFE" w14:textId="77777777" w:rsidR="007157A6" w:rsidRPr="007157A6" w:rsidRDefault="007157A6" w:rsidP="007157A6">
            <w:pPr>
              <w:rPr>
                <w:lang w:val="en-GB"/>
              </w:rPr>
            </w:pPr>
          </w:p>
        </w:tc>
        <w:tc>
          <w:tcPr>
            <w:tcW w:w="418" w:type="dxa"/>
          </w:tcPr>
          <w:p w14:paraId="14F35372" w14:textId="77777777" w:rsidR="007157A6" w:rsidRPr="007157A6" w:rsidRDefault="007157A6" w:rsidP="007157A6">
            <w:pPr>
              <w:rPr>
                <w:lang w:val="en-GB"/>
              </w:rPr>
            </w:pPr>
          </w:p>
        </w:tc>
        <w:tc>
          <w:tcPr>
            <w:tcW w:w="419" w:type="dxa"/>
          </w:tcPr>
          <w:p w14:paraId="55D4ECBE" w14:textId="77777777" w:rsidR="007157A6" w:rsidRPr="007157A6" w:rsidRDefault="007157A6" w:rsidP="007157A6">
            <w:pPr>
              <w:rPr>
                <w:lang w:val="en-GB"/>
              </w:rPr>
            </w:pPr>
          </w:p>
        </w:tc>
      </w:tr>
      <w:tr w:rsidR="007157A6" w:rsidRPr="007157A6" w14:paraId="21434B0A" w14:textId="77777777" w:rsidTr="00C850ED">
        <w:tc>
          <w:tcPr>
            <w:tcW w:w="8642" w:type="dxa"/>
            <w:shd w:val="clear" w:color="auto" w:fill="D9D9D9" w:themeFill="background1" w:themeFillShade="D9"/>
          </w:tcPr>
          <w:p w14:paraId="46AEDB7B"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3D26E28A"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17CD8E58"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3DA8103"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0942F06"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FDCD857"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16644F4F" w14:textId="77777777" w:rsidR="007157A6" w:rsidRPr="007157A6" w:rsidRDefault="007157A6" w:rsidP="007157A6">
            <w:pPr>
              <w:rPr>
                <w:lang w:val="en-GB"/>
              </w:rPr>
            </w:pPr>
            <w:r w:rsidRPr="007157A6">
              <w:rPr>
                <w:b/>
                <w:lang w:val="en-GB"/>
              </w:rPr>
              <w:t>1</w:t>
            </w:r>
          </w:p>
        </w:tc>
      </w:tr>
      <w:tr w:rsidR="007157A6" w:rsidRPr="007157A6" w14:paraId="67B94652" w14:textId="77777777" w:rsidTr="00C850ED">
        <w:tc>
          <w:tcPr>
            <w:tcW w:w="8642" w:type="dxa"/>
            <w:vMerge w:val="restart"/>
          </w:tcPr>
          <w:p w14:paraId="2DA28118" w14:textId="77777777" w:rsidR="007157A6" w:rsidRPr="007157A6" w:rsidRDefault="007157A6" w:rsidP="007157A6">
            <w:pPr>
              <w:rPr>
                <w:lang w:val="en-GB"/>
              </w:rPr>
            </w:pPr>
            <w:r w:rsidRPr="007157A6">
              <w:rPr>
                <w:lang w:val="en-GB"/>
              </w:rPr>
              <w:t>The public sector fulfils certain functions in the financial system which are rooted in its fundamental role – especially on regional level. Consequently, the savings bank sector, which is focused on the common good, should set an example by aligning itself with the sustainability and climate goals.</w:t>
            </w:r>
          </w:p>
        </w:tc>
        <w:tc>
          <w:tcPr>
            <w:tcW w:w="3544" w:type="dxa"/>
          </w:tcPr>
          <w:p w14:paraId="4E3F53FA" w14:textId="77777777" w:rsidR="007157A6" w:rsidRPr="007157A6" w:rsidRDefault="007157A6" w:rsidP="007157A6">
            <w:pPr>
              <w:rPr>
                <w:lang w:val="en-GB"/>
              </w:rPr>
            </w:pPr>
            <w:r w:rsidRPr="007157A6">
              <w:rPr>
                <w:lang w:val="en-GB"/>
              </w:rPr>
              <w:t>Will foster Sustainable Finance in Germany</w:t>
            </w:r>
          </w:p>
        </w:tc>
        <w:tc>
          <w:tcPr>
            <w:tcW w:w="418" w:type="dxa"/>
          </w:tcPr>
          <w:p w14:paraId="6E858AFD" w14:textId="77777777" w:rsidR="007157A6" w:rsidRPr="007157A6" w:rsidRDefault="007157A6" w:rsidP="007157A6">
            <w:pPr>
              <w:rPr>
                <w:lang w:val="en-GB"/>
              </w:rPr>
            </w:pPr>
          </w:p>
        </w:tc>
        <w:tc>
          <w:tcPr>
            <w:tcW w:w="418" w:type="dxa"/>
          </w:tcPr>
          <w:p w14:paraId="1431FEB4" w14:textId="77777777" w:rsidR="007157A6" w:rsidRPr="007157A6" w:rsidRDefault="007157A6" w:rsidP="007157A6">
            <w:pPr>
              <w:rPr>
                <w:lang w:val="en-GB"/>
              </w:rPr>
            </w:pPr>
          </w:p>
        </w:tc>
        <w:tc>
          <w:tcPr>
            <w:tcW w:w="418" w:type="dxa"/>
          </w:tcPr>
          <w:p w14:paraId="5D04FD5B" w14:textId="77777777" w:rsidR="007157A6" w:rsidRPr="007157A6" w:rsidRDefault="007157A6" w:rsidP="007157A6">
            <w:pPr>
              <w:rPr>
                <w:lang w:val="en-GB"/>
              </w:rPr>
            </w:pPr>
          </w:p>
        </w:tc>
        <w:tc>
          <w:tcPr>
            <w:tcW w:w="418" w:type="dxa"/>
          </w:tcPr>
          <w:p w14:paraId="23786E37" w14:textId="77777777" w:rsidR="007157A6" w:rsidRPr="007157A6" w:rsidRDefault="007157A6" w:rsidP="007157A6">
            <w:pPr>
              <w:rPr>
                <w:lang w:val="en-GB"/>
              </w:rPr>
            </w:pPr>
          </w:p>
        </w:tc>
        <w:tc>
          <w:tcPr>
            <w:tcW w:w="419" w:type="dxa"/>
          </w:tcPr>
          <w:p w14:paraId="5E290BDF" w14:textId="77777777" w:rsidR="007157A6" w:rsidRPr="007157A6" w:rsidRDefault="007157A6" w:rsidP="007157A6">
            <w:pPr>
              <w:rPr>
                <w:lang w:val="en-GB"/>
              </w:rPr>
            </w:pPr>
          </w:p>
        </w:tc>
      </w:tr>
      <w:tr w:rsidR="007157A6" w:rsidRPr="007157A6" w14:paraId="1B91FFDB" w14:textId="77777777" w:rsidTr="00C850ED">
        <w:tc>
          <w:tcPr>
            <w:tcW w:w="8642" w:type="dxa"/>
            <w:vMerge/>
          </w:tcPr>
          <w:p w14:paraId="49CBAF99" w14:textId="77777777" w:rsidR="007157A6" w:rsidRPr="007157A6" w:rsidRDefault="007157A6" w:rsidP="007157A6">
            <w:pPr>
              <w:rPr>
                <w:lang w:val="en-GB"/>
              </w:rPr>
            </w:pPr>
          </w:p>
        </w:tc>
        <w:tc>
          <w:tcPr>
            <w:tcW w:w="3544" w:type="dxa"/>
          </w:tcPr>
          <w:p w14:paraId="261C6B6F" w14:textId="77777777" w:rsidR="007157A6" w:rsidRPr="007157A6" w:rsidRDefault="007157A6" w:rsidP="007157A6">
            <w:pPr>
              <w:rPr>
                <w:lang w:val="en-GB"/>
              </w:rPr>
            </w:pPr>
            <w:r w:rsidRPr="007157A6">
              <w:rPr>
                <w:lang w:val="en-GB"/>
              </w:rPr>
              <w:t>Level of ambition</w:t>
            </w:r>
          </w:p>
        </w:tc>
        <w:tc>
          <w:tcPr>
            <w:tcW w:w="418" w:type="dxa"/>
          </w:tcPr>
          <w:p w14:paraId="2B52358D" w14:textId="77777777" w:rsidR="007157A6" w:rsidRPr="007157A6" w:rsidRDefault="007157A6" w:rsidP="007157A6">
            <w:pPr>
              <w:rPr>
                <w:lang w:val="en-GB"/>
              </w:rPr>
            </w:pPr>
          </w:p>
        </w:tc>
        <w:tc>
          <w:tcPr>
            <w:tcW w:w="418" w:type="dxa"/>
          </w:tcPr>
          <w:p w14:paraId="0BDD2CDB" w14:textId="77777777" w:rsidR="007157A6" w:rsidRPr="007157A6" w:rsidRDefault="007157A6" w:rsidP="007157A6">
            <w:pPr>
              <w:rPr>
                <w:lang w:val="en-GB"/>
              </w:rPr>
            </w:pPr>
          </w:p>
        </w:tc>
        <w:tc>
          <w:tcPr>
            <w:tcW w:w="418" w:type="dxa"/>
          </w:tcPr>
          <w:p w14:paraId="3F0E7DBD" w14:textId="77777777" w:rsidR="007157A6" w:rsidRPr="007157A6" w:rsidRDefault="007157A6" w:rsidP="007157A6">
            <w:pPr>
              <w:rPr>
                <w:lang w:val="en-GB"/>
              </w:rPr>
            </w:pPr>
          </w:p>
        </w:tc>
        <w:tc>
          <w:tcPr>
            <w:tcW w:w="418" w:type="dxa"/>
          </w:tcPr>
          <w:p w14:paraId="29FA8DA2" w14:textId="77777777" w:rsidR="007157A6" w:rsidRPr="007157A6" w:rsidRDefault="007157A6" w:rsidP="007157A6">
            <w:pPr>
              <w:rPr>
                <w:lang w:val="en-GB"/>
              </w:rPr>
            </w:pPr>
          </w:p>
        </w:tc>
        <w:tc>
          <w:tcPr>
            <w:tcW w:w="419" w:type="dxa"/>
          </w:tcPr>
          <w:p w14:paraId="0C184EC1" w14:textId="77777777" w:rsidR="007157A6" w:rsidRPr="007157A6" w:rsidRDefault="007157A6" w:rsidP="007157A6">
            <w:pPr>
              <w:rPr>
                <w:lang w:val="en-GB"/>
              </w:rPr>
            </w:pPr>
          </w:p>
        </w:tc>
      </w:tr>
      <w:tr w:rsidR="007157A6" w:rsidRPr="007157A6" w14:paraId="26E47210" w14:textId="77777777" w:rsidTr="00C850ED">
        <w:tc>
          <w:tcPr>
            <w:tcW w:w="8642" w:type="dxa"/>
            <w:vMerge/>
          </w:tcPr>
          <w:p w14:paraId="4B1141CF" w14:textId="77777777" w:rsidR="007157A6" w:rsidRPr="007157A6" w:rsidRDefault="007157A6" w:rsidP="007157A6">
            <w:pPr>
              <w:rPr>
                <w:lang w:val="en-GB"/>
              </w:rPr>
            </w:pPr>
          </w:p>
        </w:tc>
        <w:tc>
          <w:tcPr>
            <w:tcW w:w="3544" w:type="dxa"/>
          </w:tcPr>
          <w:p w14:paraId="70168673" w14:textId="77777777" w:rsidR="007157A6" w:rsidRPr="007157A6" w:rsidRDefault="007157A6" w:rsidP="007157A6">
            <w:pPr>
              <w:rPr>
                <w:lang w:val="en-GB"/>
              </w:rPr>
            </w:pPr>
            <w:r w:rsidRPr="007157A6">
              <w:rPr>
                <w:lang w:val="en-GB"/>
              </w:rPr>
              <w:t>Practicability</w:t>
            </w:r>
          </w:p>
        </w:tc>
        <w:tc>
          <w:tcPr>
            <w:tcW w:w="418" w:type="dxa"/>
          </w:tcPr>
          <w:p w14:paraId="2B30EB54" w14:textId="77777777" w:rsidR="007157A6" w:rsidRPr="007157A6" w:rsidRDefault="007157A6" w:rsidP="007157A6">
            <w:pPr>
              <w:rPr>
                <w:lang w:val="en-GB"/>
              </w:rPr>
            </w:pPr>
          </w:p>
        </w:tc>
        <w:tc>
          <w:tcPr>
            <w:tcW w:w="418" w:type="dxa"/>
          </w:tcPr>
          <w:p w14:paraId="0EC0D19B" w14:textId="77777777" w:rsidR="007157A6" w:rsidRPr="007157A6" w:rsidRDefault="007157A6" w:rsidP="007157A6">
            <w:pPr>
              <w:rPr>
                <w:lang w:val="en-GB"/>
              </w:rPr>
            </w:pPr>
          </w:p>
        </w:tc>
        <w:tc>
          <w:tcPr>
            <w:tcW w:w="418" w:type="dxa"/>
          </w:tcPr>
          <w:p w14:paraId="1635E3DB" w14:textId="77777777" w:rsidR="007157A6" w:rsidRPr="007157A6" w:rsidRDefault="007157A6" w:rsidP="007157A6">
            <w:pPr>
              <w:rPr>
                <w:lang w:val="en-GB"/>
              </w:rPr>
            </w:pPr>
          </w:p>
        </w:tc>
        <w:tc>
          <w:tcPr>
            <w:tcW w:w="418" w:type="dxa"/>
          </w:tcPr>
          <w:p w14:paraId="2C72F30B" w14:textId="77777777" w:rsidR="007157A6" w:rsidRPr="007157A6" w:rsidRDefault="007157A6" w:rsidP="007157A6">
            <w:pPr>
              <w:rPr>
                <w:lang w:val="en-GB"/>
              </w:rPr>
            </w:pPr>
          </w:p>
        </w:tc>
        <w:tc>
          <w:tcPr>
            <w:tcW w:w="419" w:type="dxa"/>
          </w:tcPr>
          <w:p w14:paraId="50E2C676" w14:textId="77777777" w:rsidR="007157A6" w:rsidRPr="007157A6" w:rsidRDefault="007157A6" w:rsidP="007157A6">
            <w:pPr>
              <w:rPr>
                <w:lang w:val="en-GB"/>
              </w:rPr>
            </w:pPr>
          </w:p>
        </w:tc>
      </w:tr>
      <w:tr w:rsidR="007157A6" w:rsidRPr="007157A6" w14:paraId="7E912B87" w14:textId="77777777" w:rsidTr="00C850ED">
        <w:tc>
          <w:tcPr>
            <w:tcW w:w="8642" w:type="dxa"/>
            <w:vMerge/>
          </w:tcPr>
          <w:p w14:paraId="24F89772" w14:textId="77777777" w:rsidR="007157A6" w:rsidRPr="007157A6" w:rsidRDefault="007157A6" w:rsidP="007157A6">
            <w:pPr>
              <w:rPr>
                <w:lang w:val="en-GB"/>
              </w:rPr>
            </w:pPr>
          </w:p>
        </w:tc>
        <w:tc>
          <w:tcPr>
            <w:tcW w:w="3544" w:type="dxa"/>
          </w:tcPr>
          <w:p w14:paraId="6FD6BCC3"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1C148891" w14:textId="77777777" w:rsidR="007157A6" w:rsidRPr="007157A6" w:rsidRDefault="007157A6" w:rsidP="007157A6">
            <w:pPr>
              <w:rPr>
                <w:lang w:val="en-GB"/>
              </w:rPr>
            </w:pPr>
          </w:p>
        </w:tc>
        <w:tc>
          <w:tcPr>
            <w:tcW w:w="418" w:type="dxa"/>
          </w:tcPr>
          <w:p w14:paraId="5AC7E2BD" w14:textId="77777777" w:rsidR="007157A6" w:rsidRPr="007157A6" w:rsidRDefault="007157A6" w:rsidP="007157A6">
            <w:pPr>
              <w:rPr>
                <w:lang w:val="en-GB"/>
              </w:rPr>
            </w:pPr>
          </w:p>
        </w:tc>
        <w:tc>
          <w:tcPr>
            <w:tcW w:w="418" w:type="dxa"/>
          </w:tcPr>
          <w:p w14:paraId="4152521D" w14:textId="77777777" w:rsidR="007157A6" w:rsidRPr="007157A6" w:rsidRDefault="007157A6" w:rsidP="007157A6">
            <w:pPr>
              <w:rPr>
                <w:lang w:val="en-GB"/>
              </w:rPr>
            </w:pPr>
          </w:p>
        </w:tc>
        <w:tc>
          <w:tcPr>
            <w:tcW w:w="418" w:type="dxa"/>
          </w:tcPr>
          <w:p w14:paraId="0E24FA21" w14:textId="77777777" w:rsidR="007157A6" w:rsidRPr="007157A6" w:rsidRDefault="007157A6" w:rsidP="007157A6">
            <w:pPr>
              <w:rPr>
                <w:lang w:val="en-GB"/>
              </w:rPr>
            </w:pPr>
          </w:p>
        </w:tc>
        <w:tc>
          <w:tcPr>
            <w:tcW w:w="419" w:type="dxa"/>
          </w:tcPr>
          <w:p w14:paraId="3B9C846D" w14:textId="77777777" w:rsidR="007157A6" w:rsidRPr="007157A6" w:rsidRDefault="007157A6" w:rsidP="007157A6">
            <w:pPr>
              <w:rPr>
                <w:lang w:val="en-GB"/>
              </w:rPr>
            </w:pPr>
          </w:p>
        </w:tc>
      </w:tr>
      <w:tr w:rsidR="007157A6" w:rsidRPr="007157A6" w14:paraId="4E67E1BB" w14:textId="77777777" w:rsidTr="00C850ED">
        <w:tc>
          <w:tcPr>
            <w:tcW w:w="8642" w:type="dxa"/>
            <w:shd w:val="clear" w:color="auto" w:fill="D9D9D9" w:themeFill="background1" w:themeFillShade="D9"/>
          </w:tcPr>
          <w:p w14:paraId="223FC365" w14:textId="77777777" w:rsidR="007157A6" w:rsidRPr="007157A6" w:rsidRDefault="007157A6" w:rsidP="007157A6">
            <w:pPr>
              <w:rPr>
                <w:b/>
                <w:lang w:val="en-GB"/>
              </w:rPr>
            </w:pPr>
            <w:r w:rsidRPr="007157A6">
              <w:rPr>
                <w:b/>
                <w:lang w:val="en-GB"/>
              </w:rPr>
              <w:t>Approach to action</w:t>
            </w:r>
          </w:p>
        </w:tc>
        <w:tc>
          <w:tcPr>
            <w:tcW w:w="3544" w:type="dxa"/>
            <w:shd w:val="clear" w:color="auto" w:fill="D9D9D9" w:themeFill="background1" w:themeFillShade="D9"/>
          </w:tcPr>
          <w:p w14:paraId="0337BC28" w14:textId="77777777" w:rsidR="007157A6" w:rsidRPr="007157A6" w:rsidRDefault="007157A6" w:rsidP="007157A6">
            <w:pPr>
              <w:rPr>
                <w:b/>
                <w:lang w:val="en-GB"/>
              </w:rPr>
            </w:pPr>
            <w:r w:rsidRPr="007157A6">
              <w:rPr>
                <w:b/>
                <w:lang w:val="en-GB"/>
              </w:rPr>
              <w:t>Evaluation category</w:t>
            </w:r>
          </w:p>
        </w:tc>
        <w:tc>
          <w:tcPr>
            <w:tcW w:w="418" w:type="dxa"/>
            <w:shd w:val="clear" w:color="auto" w:fill="D9D9D9" w:themeFill="background1" w:themeFillShade="D9"/>
          </w:tcPr>
          <w:p w14:paraId="0C3A026E" w14:textId="77777777" w:rsidR="007157A6" w:rsidRPr="007157A6" w:rsidRDefault="007157A6" w:rsidP="007157A6">
            <w:pPr>
              <w:rPr>
                <w:b/>
                <w:lang w:val="en-GB"/>
              </w:rPr>
            </w:pPr>
            <w:r w:rsidRPr="007157A6">
              <w:rPr>
                <w:b/>
                <w:lang w:val="en-GB"/>
              </w:rPr>
              <w:t>5</w:t>
            </w:r>
          </w:p>
        </w:tc>
        <w:tc>
          <w:tcPr>
            <w:tcW w:w="418" w:type="dxa"/>
            <w:shd w:val="clear" w:color="auto" w:fill="D9D9D9" w:themeFill="background1" w:themeFillShade="D9"/>
          </w:tcPr>
          <w:p w14:paraId="287BFCC6" w14:textId="77777777" w:rsidR="007157A6" w:rsidRPr="007157A6" w:rsidRDefault="007157A6" w:rsidP="007157A6">
            <w:pPr>
              <w:rPr>
                <w:b/>
                <w:lang w:val="en-GB"/>
              </w:rPr>
            </w:pPr>
            <w:r w:rsidRPr="007157A6">
              <w:rPr>
                <w:b/>
                <w:lang w:val="en-GB"/>
              </w:rPr>
              <w:t>4</w:t>
            </w:r>
          </w:p>
        </w:tc>
        <w:tc>
          <w:tcPr>
            <w:tcW w:w="418" w:type="dxa"/>
            <w:shd w:val="clear" w:color="auto" w:fill="D9D9D9" w:themeFill="background1" w:themeFillShade="D9"/>
          </w:tcPr>
          <w:p w14:paraId="379CF4FD" w14:textId="77777777" w:rsidR="007157A6" w:rsidRPr="007157A6" w:rsidRDefault="007157A6" w:rsidP="007157A6">
            <w:pPr>
              <w:rPr>
                <w:b/>
                <w:lang w:val="en-GB"/>
              </w:rPr>
            </w:pPr>
            <w:r w:rsidRPr="007157A6">
              <w:rPr>
                <w:b/>
                <w:lang w:val="en-GB"/>
              </w:rPr>
              <w:t>3</w:t>
            </w:r>
          </w:p>
        </w:tc>
        <w:tc>
          <w:tcPr>
            <w:tcW w:w="418" w:type="dxa"/>
            <w:shd w:val="clear" w:color="auto" w:fill="D9D9D9" w:themeFill="background1" w:themeFillShade="D9"/>
          </w:tcPr>
          <w:p w14:paraId="1B6F59ED" w14:textId="77777777" w:rsidR="007157A6" w:rsidRPr="007157A6" w:rsidRDefault="007157A6" w:rsidP="007157A6">
            <w:pPr>
              <w:rPr>
                <w:b/>
                <w:lang w:val="en-GB"/>
              </w:rPr>
            </w:pPr>
            <w:r w:rsidRPr="007157A6">
              <w:rPr>
                <w:b/>
                <w:lang w:val="en-GB"/>
              </w:rPr>
              <w:t>2</w:t>
            </w:r>
          </w:p>
        </w:tc>
        <w:tc>
          <w:tcPr>
            <w:tcW w:w="419" w:type="dxa"/>
            <w:shd w:val="clear" w:color="auto" w:fill="D9D9D9" w:themeFill="background1" w:themeFillShade="D9"/>
          </w:tcPr>
          <w:p w14:paraId="19D9AA53" w14:textId="77777777" w:rsidR="007157A6" w:rsidRPr="007157A6" w:rsidRDefault="007157A6" w:rsidP="007157A6">
            <w:pPr>
              <w:rPr>
                <w:b/>
                <w:lang w:val="en-GB"/>
              </w:rPr>
            </w:pPr>
            <w:r w:rsidRPr="007157A6">
              <w:rPr>
                <w:b/>
                <w:lang w:val="en-GB"/>
              </w:rPr>
              <w:t>1</w:t>
            </w:r>
          </w:p>
        </w:tc>
      </w:tr>
      <w:tr w:rsidR="007157A6" w:rsidRPr="007157A6" w14:paraId="3B1EB67A" w14:textId="77777777" w:rsidTr="00C850ED">
        <w:tc>
          <w:tcPr>
            <w:tcW w:w="8642" w:type="dxa"/>
            <w:vMerge w:val="restart"/>
          </w:tcPr>
          <w:p w14:paraId="024BA9E4" w14:textId="77777777" w:rsidR="007157A6" w:rsidRPr="007157A6" w:rsidRDefault="007157A6" w:rsidP="007157A6">
            <w:pPr>
              <w:rPr>
                <w:lang w:val="en-GB"/>
              </w:rPr>
            </w:pPr>
            <w:r w:rsidRPr="007157A6">
              <w:rPr>
                <w:lang w:val="en-GB"/>
              </w:rPr>
              <w:t>As regards the design of export credit and insurance, the public sector must serve as a trendsetter in keeping with both political goals and sector approaches. It can incentivise and promote future-proof structures and technological developments in coordination with the industry and in alignment with the political goals.</w:t>
            </w:r>
          </w:p>
        </w:tc>
        <w:tc>
          <w:tcPr>
            <w:tcW w:w="3544" w:type="dxa"/>
          </w:tcPr>
          <w:p w14:paraId="2BC132F9" w14:textId="77777777" w:rsidR="007157A6" w:rsidRPr="007157A6" w:rsidRDefault="007157A6" w:rsidP="007157A6">
            <w:pPr>
              <w:rPr>
                <w:lang w:val="en-GB"/>
              </w:rPr>
            </w:pPr>
            <w:r w:rsidRPr="007157A6">
              <w:rPr>
                <w:lang w:val="en-GB"/>
              </w:rPr>
              <w:t>Will foster Sustainable Finance in Germany</w:t>
            </w:r>
          </w:p>
        </w:tc>
        <w:tc>
          <w:tcPr>
            <w:tcW w:w="418" w:type="dxa"/>
          </w:tcPr>
          <w:p w14:paraId="2DCD3534" w14:textId="77777777" w:rsidR="007157A6" w:rsidRPr="007157A6" w:rsidRDefault="007157A6" w:rsidP="007157A6">
            <w:pPr>
              <w:rPr>
                <w:lang w:val="en-GB"/>
              </w:rPr>
            </w:pPr>
          </w:p>
        </w:tc>
        <w:tc>
          <w:tcPr>
            <w:tcW w:w="418" w:type="dxa"/>
          </w:tcPr>
          <w:p w14:paraId="347EE5F5" w14:textId="77777777" w:rsidR="007157A6" w:rsidRPr="007157A6" w:rsidRDefault="007157A6" w:rsidP="007157A6">
            <w:pPr>
              <w:rPr>
                <w:lang w:val="en-GB"/>
              </w:rPr>
            </w:pPr>
          </w:p>
        </w:tc>
        <w:tc>
          <w:tcPr>
            <w:tcW w:w="418" w:type="dxa"/>
          </w:tcPr>
          <w:p w14:paraId="0348A839" w14:textId="77777777" w:rsidR="007157A6" w:rsidRPr="007157A6" w:rsidRDefault="007157A6" w:rsidP="007157A6">
            <w:pPr>
              <w:rPr>
                <w:lang w:val="en-GB"/>
              </w:rPr>
            </w:pPr>
          </w:p>
        </w:tc>
        <w:tc>
          <w:tcPr>
            <w:tcW w:w="418" w:type="dxa"/>
          </w:tcPr>
          <w:p w14:paraId="156A395F" w14:textId="77777777" w:rsidR="007157A6" w:rsidRPr="007157A6" w:rsidRDefault="007157A6" w:rsidP="007157A6">
            <w:pPr>
              <w:rPr>
                <w:lang w:val="en-GB"/>
              </w:rPr>
            </w:pPr>
          </w:p>
        </w:tc>
        <w:tc>
          <w:tcPr>
            <w:tcW w:w="419" w:type="dxa"/>
          </w:tcPr>
          <w:p w14:paraId="2727C0DD" w14:textId="77777777" w:rsidR="007157A6" w:rsidRPr="007157A6" w:rsidRDefault="007157A6" w:rsidP="007157A6">
            <w:pPr>
              <w:rPr>
                <w:lang w:val="en-GB"/>
              </w:rPr>
            </w:pPr>
          </w:p>
        </w:tc>
      </w:tr>
      <w:tr w:rsidR="007157A6" w:rsidRPr="007157A6" w14:paraId="6369CFF0" w14:textId="77777777" w:rsidTr="00C850ED">
        <w:tc>
          <w:tcPr>
            <w:tcW w:w="8642" w:type="dxa"/>
            <w:vMerge/>
          </w:tcPr>
          <w:p w14:paraId="244B3825" w14:textId="77777777" w:rsidR="007157A6" w:rsidRPr="007157A6" w:rsidRDefault="007157A6" w:rsidP="007157A6">
            <w:pPr>
              <w:rPr>
                <w:lang w:val="en-GB"/>
              </w:rPr>
            </w:pPr>
          </w:p>
        </w:tc>
        <w:tc>
          <w:tcPr>
            <w:tcW w:w="3544" w:type="dxa"/>
          </w:tcPr>
          <w:p w14:paraId="74B5A467" w14:textId="77777777" w:rsidR="007157A6" w:rsidRPr="007157A6" w:rsidRDefault="007157A6" w:rsidP="007157A6">
            <w:pPr>
              <w:rPr>
                <w:lang w:val="en-GB"/>
              </w:rPr>
            </w:pPr>
            <w:r w:rsidRPr="007157A6">
              <w:rPr>
                <w:lang w:val="en-GB"/>
              </w:rPr>
              <w:t>Level of ambition</w:t>
            </w:r>
          </w:p>
        </w:tc>
        <w:tc>
          <w:tcPr>
            <w:tcW w:w="418" w:type="dxa"/>
          </w:tcPr>
          <w:p w14:paraId="7770EFC3" w14:textId="77777777" w:rsidR="007157A6" w:rsidRPr="007157A6" w:rsidRDefault="007157A6" w:rsidP="007157A6">
            <w:pPr>
              <w:rPr>
                <w:lang w:val="en-GB"/>
              </w:rPr>
            </w:pPr>
          </w:p>
        </w:tc>
        <w:tc>
          <w:tcPr>
            <w:tcW w:w="418" w:type="dxa"/>
          </w:tcPr>
          <w:p w14:paraId="42AAFEDB" w14:textId="77777777" w:rsidR="007157A6" w:rsidRPr="007157A6" w:rsidRDefault="007157A6" w:rsidP="007157A6">
            <w:pPr>
              <w:rPr>
                <w:lang w:val="en-GB"/>
              </w:rPr>
            </w:pPr>
          </w:p>
        </w:tc>
        <w:tc>
          <w:tcPr>
            <w:tcW w:w="418" w:type="dxa"/>
          </w:tcPr>
          <w:p w14:paraId="34FFEA81" w14:textId="77777777" w:rsidR="007157A6" w:rsidRPr="007157A6" w:rsidRDefault="007157A6" w:rsidP="007157A6">
            <w:pPr>
              <w:rPr>
                <w:lang w:val="en-GB"/>
              </w:rPr>
            </w:pPr>
          </w:p>
        </w:tc>
        <w:tc>
          <w:tcPr>
            <w:tcW w:w="418" w:type="dxa"/>
          </w:tcPr>
          <w:p w14:paraId="58D433A0" w14:textId="77777777" w:rsidR="007157A6" w:rsidRPr="007157A6" w:rsidRDefault="007157A6" w:rsidP="007157A6">
            <w:pPr>
              <w:rPr>
                <w:lang w:val="en-GB"/>
              </w:rPr>
            </w:pPr>
          </w:p>
        </w:tc>
        <w:tc>
          <w:tcPr>
            <w:tcW w:w="419" w:type="dxa"/>
          </w:tcPr>
          <w:p w14:paraId="5FCD5604" w14:textId="77777777" w:rsidR="007157A6" w:rsidRPr="007157A6" w:rsidRDefault="007157A6" w:rsidP="007157A6">
            <w:pPr>
              <w:rPr>
                <w:lang w:val="en-GB"/>
              </w:rPr>
            </w:pPr>
          </w:p>
        </w:tc>
      </w:tr>
      <w:tr w:rsidR="007157A6" w:rsidRPr="007157A6" w14:paraId="566535B7" w14:textId="77777777" w:rsidTr="00C850ED">
        <w:tc>
          <w:tcPr>
            <w:tcW w:w="8642" w:type="dxa"/>
            <w:vMerge/>
          </w:tcPr>
          <w:p w14:paraId="6D5B0705" w14:textId="77777777" w:rsidR="007157A6" w:rsidRPr="007157A6" w:rsidRDefault="007157A6" w:rsidP="007157A6">
            <w:pPr>
              <w:rPr>
                <w:lang w:val="en-GB"/>
              </w:rPr>
            </w:pPr>
          </w:p>
        </w:tc>
        <w:tc>
          <w:tcPr>
            <w:tcW w:w="3544" w:type="dxa"/>
          </w:tcPr>
          <w:p w14:paraId="58294D0A" w14:textId="77777777" w:rsidR="007157A6" w:rsidRPr="007157A6" w:rsidRDefault="007157A6" w:rsidP="007157A6">
            <w:pPr>
              <w:rPr>
                <w:lang w:val="en-GB"/>
              </w:rPr>
            </w:pPr>
            <w:r w:rsidRPr="007157A6">
              <w:rPr>
                <w:lang w:val="en-GB"/>
              </w:rPr>
              <w:t>Practicability</w:t>
            </w:r>
          </w:p>
        </w:tc>
        <w:tc>
          <w:tcPr>
            <w:tcW w:w="418" w:type="dxa"/>
          </w:tcPr>
          <w:p w14:paraId="437D6D25" w14:textId="77777777" w:rsidR="007157A6" w:rsidRPr="007157A6" w:rsidRDefault="007157A6" w:rsidP="007157A6">
            <w:pPr>
              <w:rPr>
                <w:lang w:val="en-GB"/>
              </w:rPr>
            </w:pPr>
          </w:p>
        </w:tc>
        <w:tc>
          <w:tcPr>
            <w:tcW w:w="418" w:type="dxa"/>
          </w:tcPr>
          <w:p w14:paraId="3DD10F97" w14:textId="77777777" w:rsidR="007157A6" w:rsidRPr="007157A6" w:rsidRDefault="007157A6" w:rsidP="007157A6">
            <w:pPr>
              <w:rPr>
                <w:lang w:val="en-GB"/>
              </w:rPr>
            </w:pPr>
          </w:p>
        </w:tc>
        <w:tc>
          <w:tcPr>
            <w:tcW w:w="418" w:type="dxa"/>
          </w:tcPr>
          <w:p w14:paraId="184FE3F5" w14:textId="77777777" w:rsidR="007157A6" w:rsidRPr="007157A6" w:rsidRDefault="007157A6" w:rsidP="007157A6">
            <w:pPr>
              <w:rPr>
                <w:lang w:val="en-GB"/>
              </w:rPr>
            </w:pPr>
          </w:p>
        </w:tc>
        <w:tc>
          <w:tcPr>
            <w:tcW w:w="418" w:type="dxa"/>
          </w:tcPr>
          <w:p w14:paraId="4BE8E826" w14:textId="77777777" w:rsidR="007157A6" w:rsidRPr="007157A6" w:rsidRDefault="007157A6" w:rsidP="007157A6">
            <w:pPr>
              <w:rPr>
                <w:lang w:val="en-GB"/>
              </w:rPr>
            </w:pPr>
          </w:p>
        </w:tc>
        <w:tc>
          <w:tcPr>
            <w:tcW w:w="419" w:type="dxa"/>
          </w:tcPr>
          <w:p w14:paraId="411ED1D8" w14:textId="77777777" w:rsidR="007157A6" w:rsidRPr="007157A6" w:rsidRDefault="007157A6" w:rsidP="007157A6">
            <w:pPr>
              <w:rPr>
                <w:lang w:val="en-GB"/>
              </w:rPr>
            </w:pPr>
          </w:p>
        </w:tc>
      </w:tr>
      <w:tr w:rsidR="007157A6" w:rsidRPr="007157A6" w14:paraId="7C1178E7" w14:textId="77777777" w:rsidTr="00C850ED">
        <w:tc>
          <w:tcPr>
            <w:tcW w:w="8642" w:type="dxa"/>
            <w:vMerge/>
          </w:tcPr>
          <w:p w14:paraId="03CA9D0D" w14:textId="77777777" w:rsidR="007157A6" w:rsidRPr="007157A6" w:rsidRDefault="007157A6" w:rsidP="007157A6">
            <w:pPr>
              <w:rPr>
                <w:lang w:val="en-GB"/>
              </w:rPr>
            </w:pPr>
          </w:p>
        </w:tc>
        <w:tc>
          <w:tcPr>
            <w:tcW w:w="3544" w:type="dxa"/>
          </w:tcPr>
          <w:p w14:paraId="0EF7C0F6"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51B24A8C" w14:textId="77777777" w:rsidR="007157A6" w:rsidRPr="007157A6" w:rsidRDefault="007157A6" w:rsidP="007157A6">
            <w:pPr>
              <w:rPr>
                <w:lang w:val="en-GB"/>
              </w:rPr>
            </w:pPr>
          </w:p>
        </w:tc>
        <w:tc>
          <w:tcPr>
            <w:tcW w:w="418" w:type="dxa"/>
          </w:tcPr>
          <w:p w14:paraId="3FE2CB01" w14:textId="77777777" w:rsidR="007157A6" w:rsidRPr="007157A6" w:rsidRDefault="007157A6" w:rsidP="007157A6">
            <w:pPr>
              <w:rPr>
                <w:lang w:val="en-GB"/>
              </w:rPr>
            </w:pPr>
          </w:p>
        </w:tc>
        <w:tc>
          <w:tcPr>
            <w:tcW w:w="418" w:type="dxa"/>
          </w:tcPr>
          <w:p w14:paraId="7A92BFA6" w14:textId="77777777" w:rsidR="007157A6" w:rsidRPr="007157A6" w:rsidRDefault="007157A6" w:rsidP="007157A6">
            <w:pPr>
              <w:rPr>
                <w:lang w:val="en-GB"/>
              </w:rPr>
            </w:pPr>
          </w:p>
        </w:tc>
        <w:tc>
          <w:tcPr>
            <w:tcW w:w="418" w:type="dxa"/>
          </w:tcPr>
          <w:p w14:paraId="6ACF3EC9" w14:textId="77777777" w:rsidR="007157A6" w:rsidRPr="007157A6" w:rsidRDefault="007157A6" w:rsidP="007157A6">
            <w:pPr>
              <w:rPr>
                <w:lang w:val="en-GB"/>
              </w:rPr>
            </w:pPr>
          </w:p>
        </w:tc>
        <w:tc>
          <w:tcPr>
            <w:tcW w:w="419" w:type="dxa"/>
          </w:tcPr>
          <w:p w14:paraId="2BA88C0C" w14:textId="77777777" w:rsidR="007157A6" w:rsidRPr="007157A6" w:rsidRDefault="007157A6" w:rsidP="007157A6">
            <w:pPr>
              <w:rPr>
                <w:lang w:val="en-GB"/>
              </w:rPr>
            </w:pPr>
          </w:p>
        </w:tc>
      </w:tr>
      <w:tr w:rsidR="007157A6" w:rsidRPr="007157A6" w14:paraId="54D0BFBF" w14:textId="77777777" w:rsidTr="00C850ED">
        <w:tc>
          <w:tcPr>
            <w:tcW w:w="8642" w:type="dxa"/>
            <w:shd w:val="clear" w:color="auto" w:fill="D9D9D9" w:themeFill="background1" w:themeFillShade="D9"/>
          </w:tcPr>
          <w:p w14:paraId="4558403C"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65A5239F"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0B548533"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4486A15C"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7BE92A39"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3B05CAD0"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68425C03" w14:textId="77777777" w:rsidR="007157A6" w:rsidRPr="007157A6" w:rsidRDefault="007157A6" w:rsidP="007157A6">
            <w:pPr>
              <w:rPr>
                <w:lang w:val="en-GB"/>
              </w:rPr>
            </w:pPr>
            <w:r w:rsidRPr="007157A6">
              <w:rPr>
                <w:b/>
                <w:lang w:val="en-GB"/>
              </w:rPr>
              <w:t>1</w:t>
            </w:r>
          </w:p>
        </w:tc>
      </w:tr>
      <w:tr w:rsidR="007157A6" w:rsidRPr="007157A6" w14:paraId="271B91B5" w14:textId="77777777" w:rsidTr="00C850ED">
        <w:tc>
          <w:tcPr>
            <w:tcW w:w="8642" w:type="dxa"/>
            <w:vMerge w:val="restart"/>
          </w:tcPr>
          <w:p w14:paraId="6758E85D" w14:textId="77777777" w:rsidR="007157A6" w:rsidRPr="007157A6" w:rsidRDefault="007157A6" w:rsidP="007157A6">
            <w:pPr>
              <w:rPr>
                <w:lang w:val="en-GB"/>
              </w:rPr>
            </w:pPr>
            <w:r w:rsidRPr="007157A6">
              <w:rPr>
                <w:lang w:val="en-GB"/>
              </w:rPr>
              <w:t>The same applies to the country’s international cooperation with other countries, e.g. in connection with climate funding, the realisation of the SDGs, foreign assistance and participation in bi- and multilateral development banks such as the European Investment Bank and the World Bank. Here, too, the overarching political goals should be consistently pursued.</w:t>
            </w:r>
          </w:p>
        </w:tc>
        <w:tc>
          <w:tcPr>
            <w:tcW w:w="3544" w:type="dxa"/>
          </w:tcPr>
          <w:p w14:paraId="58D719CA" w14:textId="77777777" w:rsidR="007157A6" w:rsidRPr="007157A6" w:rsidRDefault="007157A6" w:rsidP="007157A6">
            <w:pPr>
              <w:rPr>
                <w:lang w:val="en-GB"/>
              </w:rPr>
            </w:pPr>
            <w:r w:rsidRPr="007157A6">
              <w:rPr>
                <w:lang w:val="en-GB"/>
              </w:rPr>
              <w:t>Will foster Sustainable Finance in Germany</w:t>
            </w:r>
          </w:p>
        </w:tc>
        <w:tc>
          <w:tcPr>
            <w:tcW w:w="418" w:type="dxa"/>
          </w:tcPr>
          <w:p w14:paraId="4F054AB3" w14:textId="77777777" w:rsidR="007157A6" w:rsidRPr="007157A6" w:rsidRDefault="007157A6" w:rsidP="007157A6">
            <w:pPr>
              <w:rPr>
                <w:lang w:val="en-GB"/>
              </w:rPr>
            </w:pPr>
          </w:p>
        </w:tc>
        <w:tc>
          <w:tcPr>
            <w:tcW w:w="418" w:type="dxa"/>
          </w:tcPr>
          <w:p w14:paraId="190F9995" w14:textId="77777777" w:rsidR="007157A6" w:rsidRPr="007157A6" w:rsidRDefault="007157A6" w:rsidP="007157A6">
            <w:pPr>
              <w:rPr>
                <w:lang w:val="en-GB"/>
              </w:rPr>
            </w:pPr>
          </w:p>
        </w:tc>
        <w:tc>
          <w:tcPr>
            <w:tcW w:w="418" w:type="dxa"/>
          </w:tcPr>
          <w:p w14:paraId="0683B9D5" w14:textId="77777777" w:rsidR="007157A6" w:rsidRPr="007157A6" w:rsidRDefault="007157A6" w:rsidP="007157A6">
            <w:pPr>
              <w:rPr>
                <w:lang w:val="en-GB"/>
              </w:rPr>
            </w:pPr>
          </w:p>
        </w:tc>
        <w:tc>
          <w:tcPr>
            <w:tcW w:w="418" w:type="dxa"/>
          </w:tcPr>
          <w:p w14:paraId="067CC58C" w14:textId="77777777" w:rsidR="007157A6" w:rsidRPr="007157A6" w:rsidRDefault="007157A6" w:rsidP="007157A6">
            <w:pPr>
              <w:rPr>
                <w:lang w:val="en-GB"/>
              </w:rPr>
            </w:pPr>
          </w:p>
        </w:tc>
        <w:tc>
          <w:tcPr>
            <w:tcW w:w="419" w:type="dxa"/>
          </w:tcPr>
          <w:p w14:paraId="7BB342EE" w14:textId="77777777" w:rsidR="007157A6" w:rsidRPr="007157A6" w:rsidRDefault="007157A6" w:rsidP="007157A6">
            <w:pPr>
              <w:rPr>
                <w:lang w:val="en-GB"/>
              </w:rPr>
            </w:pPr>
          </w:p>
        </w:tc>
      </w:tr>
      <w:tr w:rsidR="007157A6" w:rsidRPr="007157A6" w14:paraId="3281AE6B" w14:textId="77777777" w:rsidTr="00C850ED">
        <w:tc>
          <w:tcPr>
            <w:tcW w:w="8642" w:type="dxa"/>
            <w:vMerge/>
          </w:tcPr>
          <w:p w14:paraId="67B1A04C" w14:textId="77777777" w:rsidR="007157A6" w:rsidRPr="007157A6" w:rsidRDefault="007157A6" w:rsidP="007157A6">
            <w:pPr>
              <w:rPr>
                <w:lang w:val="en-GB"/>
              </w:rPr>
            </w:pPr>
          </w:p>
        </w:tc>
        <w:tc>
          <w:tcPr>
            <w:tcW w:w="3544" w:type="dxa"/>
          </w:tcPr>
          <w:p w14:paraId="245F71C2" w14:textId="77777777" w:rsidR="007157A6" w:rsidRPr="007157A6" w:rsidRDefault="007157A6" w:rsidP="007157A6">
            <w:pPr>
              <w:rPr>
                <w:lang w:val="en-GB"/>
              </w:rPr>
            </w:pPr>
            <w:r w:rsidRPr="007157A6">
              <w:rPr>
                <w:lang w:val="en-GB"/>
              </w:rPr>
              <w:t>Level of ambition</w:t>
            </w:r>
          </w:p>
        </w:tc>
        <w:tc>
          <w:tcPr>
            <w:tcW w:w="418" w:type="dxa"/>
          </w:tcPr>
          <w:p w14:paraId="7C9BD366" w14:textId="77777777" w:rsidR="007157A6" w:rsidRPr="007157A6" w:rsidRDefault="007157A6" w:rsidP="007157A6">
            <w:pPr>
              <w:rPr>
                <w:lang w:val="en-GB"/>
              </w:rPr>
            </w:pPr>
          </w:p>
        </w:tc>
        <w:tc>
          <w:tcPr>
            <w:tcW w:w="418" w:type="dxa"/>
          </w:tcPr>
          <w:p w14:paraId="0109EB8A" w14:textId="77777777" w:rsidR="007157A6" w:rsidRPr="007157A6" w:rsidRDefault="007157A6" w:rsidP="007157A6">
            <w:pPr>
              <w:rPr>
                <w:lang w:val="en-GB"/>
              </w:rPr>
            </w:pPr>
          </w:p>
        </w:tc>
        <w:tc>
          <w:tcPr>
            <w:tcW w:w="418" w:type="dxa"/>
          </w:tcPr>
          <w:p w14:paraId="749DCDCB" w14:textId="77777777" w:rsidR="007157A6" w:rsidRPr="007157A6" w:rsidRDefault="007157A6" w:rsidP="007157A6">
            <w:pPr>
              <w:rPr>
                <w:lang w:val="en-GB"/>
              </w:rPr>
            </w:pPr>
          </w:p>
        </w:tc>
        <w:tc>
          <w:tcPr>
            <w:tcW w:w="418" w:type="dxa"/>
          </w:tcPr>
          <w:p w14:paraId="64ECDB95" w14:textId="77777777" w:rsidR="007157A6" w:rsidRPr="007157A6" w:rsidRDefault="007157A6" w:rsidP="007157A6">
            <w:pPr>
              <w:rPr>
                <w:lang w:val="en-GB"/>
              </w:rPr>
            </w:pPr>
          </w:p>
        </w:tc>
        <w:tc>
          <w:tcPr>
            <w:tcW w:w="419" w:type="dxa"/>
          </w:tcPr>
          <w:p w14:paraId="6DB0CBA7" w14:textId="77777777" w:rsidR="007157A6" w:rsidRPr="007157A6" w:rsidRDefault="007157A6" w:rsidP="007157A6">
            <w:pPr>
              <w:rPr>
                <w:lang w:val="en-GB"/>
              </w:rPr>
            </w:pPr>
          </w:p>
        </w:tc>
      </w:tr>
      <w:tr w:rsidR="007157A6" w:rsidRPr="007157A6" w14:paraId="4F4E982A" w14:textId="77777777" w:rsidTr="00C850ED">
        <w:tc>
          <w:tcPr>
            <w:tcW w:w="8642" w:type="dxa"/>
            <w:vMerge/>
          </w:tcPr>
          <w:p w14:paraId="340D1650" w14:textId="77777777" w:rsidR="007157A6" w:rsidRPr="007157A6" w:rsidRDefault="007157A6" w:rsidP="007157A6">
            <w:pPr>
              <w:rPr>
                <w:lang w:val="en-GB"/>
              </w:rPr>
            </w:pPr>
          </w:p>
        </w:tc>
        <w:tc>
          <w:tcPr>
            <w:tcW w:w="3544" w:type="dxa"/>
          </w:tcPr>
          <w:p w14:paraId="751DD3ED" w14:textId="77777777" w:rsidR="007157A6" w:rsidRPr="007157A6" w:rsidRDefault="007157A6" w:rsidP="007157A6">
            <w:pPr>
              <w:rPr>
                <w:lang w:val="en-GB"/>
              </w:rPr>
            </w:pPr>
            <w:r w:rsidRPr="007157A6">
              <w:rPr>
                <w:lang w:val="en-GB"/>
              </w:rPr>
              <w:t>Practicability</w:t>
            </w:r>
          </w:p>
        </w:tc>
        <w:tc>
          <w:tcPr>
            <w:tcW w:w="418" w:type="dxa"/>
          </w:tcPr>
          <w:p w14:paraId="14581546" w14:textId="77777777" w:rsidR="007157A6" w:rsidRPr="007157A6" w:rsidRDefault="007157A6" w:rsidP="007157A6">
            <w:pPr>
              <w:rPr>
                <w:lang w:val="en-GB"/>
              </w:rPr>
            </w:pPr>
          </w:p>
        </w:tc>
        <w:tc>
          <w:tcPr>
            <w:tcW w:w="418" w:type="dxa"/>
          </w:tcPr>
          <w:p w14:paraId="1234E0BF" w14:textId="77777777" w:rsidR="007157A6" w:rsidRPr="007157A6" w:rsidRDefault="007157A6" w:rsidP="007157A6">
            <w:pPr>
              <w:rPr>
                <w:lang w:val="en-GB"/>
              </w:rPr>
            </w:pPr>
          </w:p>
        </w:tc>
        <w:tc>
          <w:tcPr>
            <w:tcW w:w="418" w:type="dxa"/>
          </w:tcPr>
          <w:p w14:paraId="119EA95A" w14:textId="77777777" w:rsidR="007157A6" w:rsidRPr="007157A6" w:rsidRDefault="007157A6" w:rsidP="007157A6">
            <w:pPr>
              <w:rPr>
                <w:lang w:val="en-GB"/>
              </w:rPr>
            </w:pPr>
          </w:p>
        </w:tc>
        <w:tc>
          <w:tcPr>
            <w:tcW w:w="418" w:type="dxa"/>
          </w:tcPr>
          <w:p w14:paraId="0ED38A62" w14:textId="77777777" w:rsidR="007157A6" w:rsidRPr="007157A6" w:rsidRDefault="007157A6" w:rsidP="007157A6">
            <w:pPr>
              <w:rPr>
                <w:lang w:val="en-GB"/>
              </w:rPr>
            </w:pPr>
          </w:p>
        </w:tc>
        <w:tc>
          <w:tcPr>
            <w:tcW w:w="419" w:type="dxa"/>
          </w:tcPr>
          <w:p w14:paraId="64709D47" w14:textId="77777777" w:rsidR="007157A6" w:rsidRPr="007157A6" w:rsidRDefault="007157A6" w:rsidP="007157A6">
            <w:pPr>
              <w:rPr>
                <w:lang w:val="en-GB"/>
              </w:rPr>
            </w:pPr>
          </w:p>
        </w:tc>
      </w:tr>
      <w:tr w:rsidR="007157A6" w:rsidRPr="007157A6" w14:paraId="4E83DBBD" w14:textId="77777777" w:rsidTr="00C850ED">
        <w:tc>
          <w:tcPr>
            <w:tcW w:w="8642" w:type="dxa"/>
            <w:vMerge/>
          </w:tcPr>
          <w:p w14:paraId="15306844" w14:textId="77777777" w:rsidR="007157A6" w:rsidRPr="007157A6" w:rsidRDefault="007157A6" w:rsidP="007157A6">
            <w:pPr>
              <w:rPr>
                <w:lang w:val="en-GB"/>
              </w:rPr>
            </w:pPr>
          </w:p>
        </w:tc>
        <w:tc>
          <w:tcPr>
            <w:tcW w:w="3544" w:type="dxa"/>
          </w:tcPr>
          <w:p w14:paraId="7D1CA67B"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4F2BBC36" w14:textId="77777777" w:rsidR="007157A6" w:rsidRPr="007157A6" w:rsidRDefault="007157A6" w:rsidP="007157A6">
            <w:pPr>
              <w:rPr>
                <w:lang w:val="en-GB"/>
              </w:rPr>
            </w:pPr>
          </w:p>
        </w:tc>
        <w:tc>
          <w:tcPr>
            <w:tcW w:w="418" w:type="dxa"/>
          </w:tcPr>
          <w:p w14:paraId="5BE04373" w14:textId="77777777" w:rsidR="007157A6" w:rsidRPr="007157A6" w:rsidRDefault="007157A6" w:rsidP="007157A6">
            <w:pPr>
              <w:rPr>
                <w:lang w:val="en-GB"/>
              </w:rPr>
            </w:pPr>
          </w:p>
        </w:tc>
        <w:tc>
          <w:tcPr>
            <w:tcW w:w="418" w:type="dxa"/>
          </w:tcPr>
          <w:p w14:paraId="458878D4" w14:textId="77777777" w:rsidR="007157A6" w:rsidRPr="007157A6" w:rsidRDefault="007157A6" w:rsidP="007157A6">
            <w:pPr>
              <w:rPr>
                <w:lang w:val="en-GB"/>
              </w:rPr>
            </w:pPr>
          </w:p>
        </w:tc>
        <w:tc>
          <w:tcPr>
            <w:tcW w:w="418" w:type="dxa"/>
          </w:tcPr>
          <w:p w14:paraId="1F9045FE" w14:textId="77777777" w:rsidR="007157A6" w:rsidRPr="007157A6" w:rsidRDefault="007157A6" w:rsidP="007157A6">
            <w:pPr>
              <w:rPr>
                <w:lang w:val="en-GB"/>
              </w:rPr>
            </w:pPr>
          </w:p>
        </w:tc>
        <w:tc>
          <w:tcPr>
            <w:tcW w:w="419" w:type="dxa"/>
          </w:tcPr>
          <w:p w14:paraId="7CD9E71A" w14:textId="77777777" w:rsidR="007157A6" w:rsidRPr="007157A6" w:rsidRDefault="007157A6" w:rsidP="007157A6">
            <w:pPr>
              <w:rPr>
                <w:lang w:val="en-GB"/>
              </w:rPr>
            </w:pPr>
          </w:p>
        </w:tc>
      </w:tr>
      <w:tr w:rsidR="007157A6" w:rsidRPr="007157A6" w14:paraId="1564BB79" w14:textId="77777777" w:rsidTr="00C850ED">
        <w:tc>
          <w:tcPr>
            <w:tcW w:w="8642" w:type="dxa"/>
            <w:shd w:val="clear" w:color="auto" w:fill="D9D9D9" w:themeFill="background1" w:themeFillShade="D9"/>
          </w:tcPr>
          <w:p w14:paraId="3391AEEA" w14:textId="77777777" w:rsidR="007157A6" w:rsidRPr="007157A6" w:rsidRDefault="007157A6" w:rsidP="007157A6">
            <w:pPr>
              <w:rPr>
                <w:lang w:val="en-GB"/>
              </w:rPr>
            </w:pPr>
            <w:r w:rsidRPr="007157A6">
              <w:rPr>
                <w:b/>
                <w:lang w:val="en-GB"/>
              </w:rPr>
              <w:t>Approach to action</w:t>
            </w:r>
          </w:p>
        </w:tc>
        <w:tc>
          <w:tcPr>
            <w:tcW w:w="3544" w:type="dxa"/>
            <w:shd w:val="clear" w:color="auto" w:fill="D9D9D9" w:themeFill="background1" w:themeFillShade="D9"/>
          </w:tcPr>
          <w:p w14:paraId="76F004E5" w14:textId="77777777" w:rsidR="007157A6" w:rsidRPr="007157A6" w:rsidRDefault="007157A6" w:rsidP="007157A6">
            <w:pPr>
              <w:rPr>
                <w:lang w:val="en-GB"/>
              </w:rPr>
            </w:pPr>
            <w:r w:rsidRPr="007157A6">
              <w:rPr>
                <w:b/>
                <w:lang w:val="en-GB"/>
              </w:rPr>
              <w:t>Evaluation category</w:t>
            </w:r>
          </w:p>
        </w:tc>
        <w:tc>
          <w:tcPr>
            <w:tcW w:w="418" w:type="dxa"/>
            <w:shd w:val="clear" w:color="auto" w:fill="D9D9D9" w:themeFill="background1" w:themeFillShade="D9"/>
          </w:tcPr>
          <w:p w14:paraId="70F8C6BD" w14:textId="77777777" w:rsidR="007157A6" w:rsidRPr="007157A6" w:rsidRDefault="007157A6" w:rsidP="007157A6">
            <w:pPr>
              <w:rPr>
                <w:lang w:val="en-GB"/>
              </w:rPr>
            </w:pPr>
            <w:r w:rsidRPr="007157A6">
              <w:rPr>
                <w:b/>
                <w:lang w:val="en-GB"/>
              </w:rPr>
              <w:t>5</w:t>
            </w:r>
          </w:p>
        </w:tc>
        <w:tc>
          <w:tcPr>
            <w:tcW w:w="418" w:type="dxa"/>
            <w:shd w:val="clear" w:color="auto" w:fill="D9D9D9" w:themeFill="background1" w:themeFillShade="D9"/>
          </w:tcPr>
          <w:p w14:paraId="12ED431D" w14:textId="77777777" w:rsidR="007157A6" w:rsidRPr="007157A6" w:rsidRDefault="007157A6" w:rsidP="007157A6">
            <w:pPr>
              <w:rPr>
                <w:lang w:val="en-GB"/>
              </w:rPr>
            </w:pPr>
            <w:r w:rsidRPr="007157A6">
              <w:rPr>
                <w:b/>
                <w:lang w:val="en-GB"/>
              </w:rPr>
              <w:t>4</w:t>
            </w:r>
          </w:p>
        </w:tc>
        <w:tc>
          <w:tcPr>
            <w:tcW w:w="418" w:type="dxa"/>
            <w:shd w:val="clear" w:color="auto" w:fill="D9D9D9" w:themeFill="background1" w:themeFillShade="D9"/>
          </w:tcPr>
          <w:p w14:paraId="33346C27" w14:textId="77777777" w:rsidR="007157A6" w:rsidRPr="007157A6" w:rsidRDefault="007157A6" w:rsidP="007157A6">
            <w:pPr>
              <w:rPr>
                <w:lang w:val="en-GB"/>
              </w:rPr>
            </w:pPr>
            <w:r w:rsidRPr="007157A6">
              <w:rPr>
                <w:b/>
                <w:lang w:val="en-GB"/>
              </w:rPr>
              <w:t>3</w:t>
            </w:r>
          </w:p>
        </w:tc>
        <w:tc>
          <w:tcPr>
            <w:tcW w:w="418" w:type="dxa"/>
            <w:shd w:val="clear" w:color="auto" w:fill="D9D9D9" w:themeFill="background1" w:themeFillShade="D9"/>
          </w:tcPr>
          <w:p w14:paraId="7D25EBFB" w14:textId="77777777" w:rsidR="007157A6" w:rsidRPr="007157A6" w:rsidRDefault="007157A6" w:rsidP="007157A6">
            <w:pPr>
              <w:rPr>
                <w:lang w:val="en-GB"/>
              </w:rPr>
            </w:pPr>
            <w:r w:rsidRPr="007157A6">
              <w:rPr>
                <w:b/>
                <w:lang w:val="en-GB"/>
              </w:rPr>
              <w:t>2</w:t>
            </w:r>
          </w:p>
        </w:tc>
        <w:tc>
          <w:tcPr>
            <w:tcW w:w="419" w:type="dxa"/>
            <w:shd w:val="clear" w:color="auto" w:fill="D9D9D9" w:themeFill="background1" w:themeFillShade="D9"/>
          </w:tcPr>
          <w:p w14:paraId="32DAF7E4" w14:textId="77777777" w:rsidR="007157A6" w:rsidRPr="007157A6" w:rsidRDefault="007157A6" w:rsidP="007157A6">
            <w:pPr>
              <w:rPr>
                <w:lang w:val="en-GB"/>
              </w:rPr>
            </w:pPr>
            <w:r w:rsidRPr="007157A6">
              <w:rPr>
                <w:b/>
                <w:lang w:val="en-GB"/>
              </w:rPr>
              <w:t>1</w:t>
            </w:r>
          </w:p>
        </w:tc>
      </w:tr>
      <w:tr w:rsidR="007157A6" w:rsidRPr="007157A6" w14:paraId="6967C67B" w14:textId="77777777" w:rsidTr="00C850ED">
        <w:tc>
          <w:tcPr>
            <w:tcW w:w="8642" w:type="dxa"/>
            <w:vMerge w:val="restart"/>
          </w:tcPr>
          <w:p w14:paraId="5478DC09" w14:textId="77777777" w:rsidR="007157A6" w:rsidRPr="007157A6" w:rsidRDefault="007157A6" w:rsidP="007157A6">
            <w:pPr>
              <w:rPr>
                <w:lang w:val="en-GB"/>
              </w:rPr>
            </w:pPr>
            <w:r w:rsidRPr="007157A6">
              <w:rPr>
                <w:lang w:val="en-GB"/>
              </w:rPr>
              <w:t xml:space="preserve">The German federal government should prioritise the ongoing update of the European sustainable finance strategy and the dossiers related to it, both substantively and in respect of its collaboration with other EU Member States. The German Council Presidency in the second </w:t>
            </w:r>
            <w:r w:rsidRPr="007157A6">
              <w:rPr>
                <w:lang w:val="en-GB"/>
              </w:rPr>
              <w:lastRenderedPageBreak/>
              <w:t>half of 2020 offers an opportunity in this regard. International processes – such as the G20, G7, Multilateral Development Bank Paris Alignment Working Group, NGFS, Coalition of Finance Ministers for Climate Action – and participation in multilateral banks and institutions should be actively used to this end.</w:t>
            </w:r>
          </w:p>
        </w:tc>
        <w:tc>
          <w:tcPr>
            <w:tcW w:w="3544" w:type="dxa"/>
          </w:tcPr>
          <w:p w14:paraId="3B9E1F42" w14:textId="77777777" w:rsidR="007157A6" w:rsidRPr="007157A6" w:rsidRDefault="007157A6" w:rsidP="007157A6">
            <w:pPr>
              <w:rPr>
                <w:lang w:val="en-GB"/>
              </w:rPr>
            </w:pPr>
            <w:r w:rsidRPr="007157A6">
              <w:rPr>
                <w:lang w:val="en-GB"/>
              </w:rPr>
              <w:lastRenderedPageBreak/>
              <w:t>Will foster Sustainable Finance in Germany</w:t>
            </w:r>
          </w:p>
        </w:tc>
        <w:tc>
          <w:tcPr>
            <w:tcW w:w="418" w:type="dxa"/>
          </w:tcPr>
          <w:p w14:paraId="3C220696" w14:textId="77777777" w:rsidR="007157A6" w:rsidRPr="007157A6" w:rsidRDefault="007157A6" w:rsidP="007157A6">
            <w:pPr>
              <w:rPr>
                <w:lang w:val="en-GB"/>
              </w:rPr>
            </w:pPr>
          </w:p>
        </w:tc>
        <w:tc>
          <w:tcPr>
            <w:tcW w:w="418" w:type="dxa"/>
          </w:tcPr>
          <w:p w14:paraId="006379A5" w14:textId="77777777" w:rsidR="007157A6" w:rsidRPr="007157A6" w:rsidRDefault="007157A6" w:rsidP="007157A6">
            <w:pPr>
              <w:rPr>
                <w:lang w:val="en-GB"/>
              </w:rPr>
            </w:pPr>
          </w:p>
        </w:tc>
        <w:tc>
          <w:tcPr>
            <w:tcW w:w="418" w:type="dxa"/>
          </w:tcPr>
          <w:p w14:paraId="033E578E" w14:textId="77777777" w:rsidR="007157A6" w:rsidRPr="007157A6" w:rsidRDefault="007157A6" w:rsidP="007157A6">
            <w:pPr>
              <w:rPr>
                <w:lang w:val="en-GB"/>
              </w:rPr>
            </w:pPr>
          </w:p>
        </w:tc>
        <w:tc>
          <w:tcPr>
            <w:tcW w:w="418" w:type="dxa"/>
          </w:tcPr>
          <w:p w14:paraId="09B1A74D" w14:textId="77777777" w:rsidR="007157A6" w:rsidRPr="007157A6" w:rsidRDefault="007157A6" w:rsidP="007157A6">
            <w:pPr>
              <w:rPr>
                <w:lang w:val="en-GB"/>
              </w:rPr>
            </w:pPr>
          </w:p>
        </w:tc>
        <w:tc>
          <w:tcPr>
            <w:tcW w:w="419" w:type="dxa"/>
          </w:tcPr>
          <w:p w14:paraId="7F6BE61C" w14:textId="77777777" w:rsidR="007157A6" w:rsidRPr="007157A6" w:rsidRDefault="007157A6" w:rsidP="007157A6">
            <w:pPr>
              <w:rPr>
                <w:lang w:val="en-GB"/>
              </w:rPr>
            </w:pPr>
          </w:p>
        </w:tc>
      </w:tr>
      <w:tr w:rsidR="007157A6" w:rsidRPr="007157A6" w14:paraId="36266CB5" w14:textId="77777777" w:rsidTr="00C850ED">
        <w:tc>
          <w:tcPr>
            <w:tcW w:w="8642" w:type="dxa"/>
            <w:vMerge/>
          </w:tcPr>
          <w:p w14:paraId="4D363A1E" w14:textId="77777777" w:rsidR="007157A6" w:rsidRPr="007157A6" w:rsidRDefault="007157A6" w:rsidP="007157A6">
            <w:pPr>
              <w:rPr>
                <w:lang w:val="en-GB"/>
              </w:rPr>
            </w:pPr>
          </w:p>
        </w:tc>
        <w:tc>
          <w:tcPr>
            <w:tcW w:w="3544" w:type="dxa"/>
          </w:tcPr>
          <w:p w14:paraId="34607E25" w14:textId="77777777" w:rsidR="007157A6" w:rsidRPr="007157A6" w:rsidRDefault="007157A6" w:rsidP="007157A6">
            <w:pPr>
              <w:rPr>
                <w:lang w:val="en-GB"/>
              </w:rPr>
            </w:pPr>
            <w:r w:rsidRPr="007157A6">
              <w:rPr>
                <w:lang w:val="en-GB"/>
              </w:rPr>
              <w:t>Level of ambition</w:t>
            </w:r>
          </w:p>
        </w:tc>
        <w:tc>
          <w:tcPr>
            <w:tcW w:w="418" w:type="dxa"/>
          </w:tcPr>
          <w:p w14:paraId="74D424D5" w14:textId="77777777" w:rsidR="007157A6" w:rsidRPr="007157A6" w:rsidRDefault="007157A6" w:rsidP="007157A6">
            <w:pPr>
              <w:rPr>
                <w:lang w:val="en-GB"/>
              </w:rPr>
            </w:pPr>
          </w:p>
        </w:tc>
        <w:tc>
          <w:tcPr>
            <w:tcW w:w="418" w:type="dxa"/>
          </w:tcPr>
          <w:p w14:paraId="099605F4" w14:textId="77777777" w:rsidR="007157A6" w:rsidRPr="007157A6" w:rsidRDefault="007157A6" w:rsidP="007157A6">
            <w:pPr>
              <w:rPr>
                <w:lang w:val="en-GB"/>
              </w:rPr>
            </w:pPr>
          </w:p>
        </w:tc>
        <w:tc>
          <w:tcPr>
            <w:tcW w:w="418" w:type="dxa"/>
          </w:tcPr>
          <w:p w14:paraId="5B6F1DCF" w14:textId="77777777" w:rsidR="007157A6" w:rsidRPr="007157A6" w:rsidRDefault="007157A6" w:rsidP="007157A6">
            <w:pPr>
              <w:rPr>
                <w:lang w:val="en-GB"/>
              </w:rPr>
            </w:pPr>
          </w:p>
        </w:tc>
        <w:tc>
          <w:tcPr>
            <w:tcW w:w="418" w:type="dxa"/>
          </w:tcPr>
          <w:p w14:paraId="50D76291" w14:textId="77777777" w:rsidR="007157A6" w:rsidRPr="007157A6" w:rsidRDefault="007157A6" w:rsidP="007157A6">
            <w:pPr>
              <w:rPr>
                <w:lang w:val="en-GB"/>
              </w:rPr>
            </w:pPr>
          </w:p>
        </w:tc>
        <w:tc>
          <w:tcPr>
            <w:tcW w:w="419" w:type="dxa"/>
          </w:tcPr>
          <w:p w14:paraId="71ED42BE" w14:textId="77777777" w:rsidR="007157A6" w:rsidRPr="007157A6" w:rsidRDefault="007157A6" w:rsidP="007157A6">
            <w:pPr>
              <w:rPr>
                <w:lang w:val="en-GB"/>
              </w:rPr>
            </w:pPr>
          </w:p>
        </w:tc>
      </w:tr>
      <w:tr w:rsidR="007157A6" w:rsidRPr="007157A6" w14:paraId="679CFB45" w14:textId="77777777" w:rsidTr="00C850ED">
        <w:tc>
          <w:tcPr>
            <w:tcW w:w="8642" w:type="dxa"/>
            <w:vMerge/>
          </w:tcPr>
          <w:p w14:paraId="7B2534FD" w14:textId="77777777" w:rsidR="007157A6" w:rsidRPr="007157A6" w:rsidRDefault="007157A6" w:rsidP="007157A6">
            <w:pPr>
              <w:rPr>
                <w:lang w:val="en-GB"/>
              </w:rPr>
            </w:pPr>
          </w:p>
        </w:tc>
        <w:tc>
          <w:tcPr>
            <w:tcW w:w="3544" w:type="dxa"/>
          </w:tcPr>
          <w:p w14:paraId="5D6EDAEC" w14:textId="77777777" w:rsidR="007157A6" w:rsidRPr="007157A6" w:rsidRDefault="007157A6" w:rsidP="007157A6">
            <w:pPr>
              <w:rPr>
                <w:lang w:val="en-GB"/>
              </w:rPr>
            </w:pPr>
            <w:r w:rsidRPr="007157A6">
              <w:rPr>
                <w:lang w:val="en-GB"/>
              </w:rPr>
              <w:t>Practicability</w:t>
            </w:r>
          </w:p>
        </w:tc>
        <w:tc>
          <w:tcPr>
            <w:tcW w:w="418" w:type="dxa"/>
          </w:tcPr>
          <w:p w14:paraId="00D18A3F" w14:textId="77777777" w:rsidR="007157A6" w:rsidRPr="007157A6" w:rsidRDefault="007157A6" w:rsidP="007157A6">
            <w:pPr>
              <w:rPr>
                <w:lang w:val="en-GB"/>
              </w:rPr>
            </w:pPr>
          </w:p>
        </w:tc>
        <w:tc>
          <w:tcPr>
            <w:tcW w:w="418" w:type="dxa"/>
          </w:tcPr>
          <w:p w14:paraId="01B145B1" w14:textId="77777777" w:rsidR="007157A6" w:rsidRPr="007157A6" w:rsidRDefault="007157A6" w:rsidP="007157A6">
            <w:pPr>
              <w:rPr>
                <w:lang w:val="en-GB"/>
              </w:rPr>
            </w:pPr>
          </w:p>
        </w:tc>
        <w:tc>
          <w:tcPr>
            <w:tcW w:w="418" w:type="dxa"/>
          </w:tcPr>
          <w:p w14:paraId="08CB50A0" w14:textId="77777777" w:rsidR="007157A6" w:rsidRPr="007157A6" w:rsidRDefault="007157A6" w:rsidP="007157A6">
            <w:pPr>
              <w:rPr>
                <w:lang w:val="en-GB"/>
              </w:rPr>
            </w:pPr>
          </w:p>
        </w:tc>
        <w:tc>
          <w:tcPr>
            <w:tcW w:w="418" w:type="dxa"/>
          </w:tcPr>
          <w:p w14:paraId="7AE0C760" w14:textId="77777777" w:rsidR="007157A6" w:rsidRPr="007157A6" w:rsidRDefault="007157A6" w:rsidP="007157A6">
            <w:pPr>
              <w:rPr>
                <w:lang w:val="en-GB"/>
              </w:rPr>
            </w:pPr>
          </w:p>
        </w:tc>
        <w:tc>
          <w:tcPr>
            <w:tcW w:w="419" w:type="dxa"/>
          </w:tcPr>
          <w:p w14:paraId="1C4D96C0" w14:textId="77777777" w:rsidR="007157A6" w:rsidRPr="007157A6" w:rsidRDefault="007157A6" w:rsidP="007157A6">
            <w:pPr>
              <w:rPr>
                <w:lang w:val="en-GB"/>
              </w:rPr>
            </w:pPr>
          </w:p>
        </w:tc>
      </w:tr>
      <w:tr w:rsidR="007157A6" w:rsidRPr="007157A6" w14:paraId="325F57B9" w14:textId="77777777" w:rsidTr="00C850ED">
        <w:tc>
          <w:tcPr>
            <w:tcW w:w="8642" w:type="dxa"/>
            <w:vMerge/>
          </w:tcPr>
          <w:p w14:paraId="0C6076C3" w14:textId="77777777" w:rsidR="007157A6" w:rsidRPr="007157A6" w:rsidRDefault="007157A6" w:rsidP="007157A6">
            <w:pPr>
              <w:rPr>
                <w:lang w:val="en-GB"/>
              </w:rPr>
            </w:pPr>
          </w:p>
        </w:tc>
        <w:tc>
          <w:tcPr>
            <w:tcW w:w="3544" w:type="dxa"/>
          </w:tcPr>
          <w:p w14:paraId="6BB8D182" w14:textId="77777777" w:rsidR="007157A6" w:rsidRPr="007157A6" w:rsidRDefault="007157A6" w:rsidP="007157A6">
            <w:pPr>
              <w:rPr>
                <w:lang w:val="en-GB"/>
              </w:rPr>
            </w:pPr>
            <w:r w:rsidRPr="007157A6">
              <w:rPr>
                <w:lang w:val="en-GB"/>
              </w:rPr>
              <w:t>Coherence with existing/planned regulation (including EU law)</w:t>
            </w:r>
          </w:p>
        </w:tc>
        <w:tc>
          <w:tcPr>
            <w:tcW w:w="418" w:type="dxa"/>
          </w:tcPr>
          <w:p w14:paraId="2C4A4AAF" w14:textId="77777777" w:rsidR="007157A6" w:rsidRPr="007157A6" w:rsidRDefault="007157A6" w:rsidP="007157A6">
            <w:pPr>
              <w:rPr>
                <w:lang w:val="en-GB"/>
              </w:rPr>
            </w:pPr>
          </w:p>
        </w:tc>
        <w:tc>
          <w:tcPr>
            <w:tcW w:w="418" w:type="dxa"/>
          </w:tcPr>
          <w:p w14:paraId="391FE920" w14:textId="77777777" w:rsidR="007157A6" w:rsidRPr="007157A6" w:rsidRDefault="007157A6" w:rsidP="007157A6">
            <w:pPr>
              <w:rPr>
                <w:lang w:val="en-GB"/>
              </w:rPr>
            </w:pPr>
          </w:p>
        </w:tc>
        <w:tc>
          <w:tcPr>
            <w:tcW w:w="418" w:type="dxa"/>
          </w:tcPr>
          <w:p w14:paraId="183F4A64" w14:textId="77777777" w:rsidR="007157A6" w:rsidRPr="007157A6" w:rsidRDefault="007157A6" w:rsidP="007157A6">
            <w:pPr>
              <w:rPr>
                <w:lang w:val="en-GB"/>
              </w:rPr>
            </w:pPr>
          </w:p>
        </w:tc>
        <w:tc>
          <w:tcPr>
            <w:tcW w:w="418" w:type="dxa"/>
          </w:tcPr>
          <w:p w14:paraId="4F15A908" w14:textId="77777777" w:rsidR="007157A6" w:rsidRPr="007157A6" w:rsidRDefault="007157A6" w:rsidP="007157A6">
            <w:pPr>
              <w:rPr>
                <w:lang w:val="en-GB"/>
              </w:rPr>
            </w:pPr>
          </w:p>
        </w:tc>
        <w:tc>
          <w:tcPr>
            <w:tcW w:w="419" w:type="dxa"/>
          </w:tcPr>
          <w:p w14:paraId="0D02756C" w14:textId="77777777" w:rsidR="007157A6" w:rsidRPr="007157A6" w:rsidRDefault="007157A6" w:rsidP="007157A6">
            <w:pPr>
              <w:rPr>
                <w:lang w:val="en-GB"/>
              </w:rPr>
            </w:pPr>
          </w:p>
        </w:tc>
      </w:tr>
    </w:tbl>
    <w:p w14:paraId="0EB5237C" w14:textId="77777777" w:rsidR="007157A6" w:rsidRPr="007157A6" w:rsidRDefault="007157A6" w:rsidP="007157A6">
      <w:pPr>
        <w:ind w:left="360"/>
        <w:contextualSpacing/>
        <w:rPr>
          <w:lang w:val="en-GB"/>
        </w:rPr>
      </w:pPr>
    </w:p>
    <w:p w14:paraId="561F0644" w14:textId="77777777" w:rsidR="007157A6" w:rsidRPr="007157A6" w:rsidRDefault="007157A6" w:rsidP="007157A6">
      <w:pPr>
        <w:numPr>
          <w:ilvl w:val="0"/>
          <w:numId w:val="7"/>
        </w:numPr>
        <w:contextualSpacing/>
        <w:rPr>
          <w:lang w:val="en-GB"/>
        </w:rPr>
      </w:pPr>
      <w:r w:rsidRPr="007157A6">
        <w:rPr>
          <w:lang w:val="en-GB"/>
        </w:rPr>
        <w:t xml:space="preserve">How can the use of public funds be effectively linked with policy objectives? </w:t>
      </w:r>
    </w:p>
    <w:p w14:paraId="7F403DB5" w14:textId="77777777" w:rsidR="007157A6" w:rsidRPr="007157A6" w:rsidRDefault="007157A6" w:rsidP="007157A6">
      <w:pPr>
        <w:rPr>
          <w:lang w:val="en-GB"/>
        </w:rPr>
      </w:pPr>
      <w:r w:rsidRPr="007157A6">
        <w:rPr>
          <w:noProof/>
          <w:highlight w:val="yellow"/>
          <w:lang w:eastAsia="de-DE"/>
        </w:rPr>
        <mc:AlternateContent>
          <mc:Choice Requires="wps">
            <w:drawing>
              <wp:anchor distT="0" distB="0" distL="114300" distR="114300" simplePos="0" relativeHeight="251662336" behindDoc="0" locked="0" layoutInCell="1" allowOverlap="1" wp14:anchorId="71955FFD" wp14:editId="0A9056B6">
                <wp:simplePos x="0" y="0"/>
                <wp:positionH relativeFrom="column">
                  <wp:posOffset>0</wp:posOffset>
                </wp:positionH>
                <wp:positionV relativeFrom="paragraph">
                  <wp:posOffset>27940</wp:posOffset>
                </wp:positionV>
                <wp:extent cx="4460240" cy="254000"/>
                <wp:effectExtent l="0" t="0" r="16510" b="127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254000"/>
                        </a:xfrm>
                        <a:prstGeom prst="rect">
                          <a:avLst/>
                        </a:prstGeom>
                        <a:solidFill>
                          <a:srgbClr val="FFFFFF"/>
                        </a:solidFill>
                        <a:ln w="9525">
                          <a:solidFill>
                            <a:srgbClr val="000000"/>
                          </a:solidFill>
                          <a:miter lim="800000"/>
                          <a:headEnd/>
                          <a:tailEnd/>
                        </a:ln>
                      </wps:spPr>
                      <wps:txbx>
                        <w:txbxContent>
                          <w:p w14:paraId="424DCC3A" w14:textId="77777777" w:rsidR="00C850ED" w:rsidRDefault="00396D4C" w:rsidP="007157A6">
                            <w:r w:rsidRPr="00396D4C">
                              <w:t xml:space="preserve">Text Box (max. </w:t>
                            </w:r>
                            <w:r w:rsidRPr="00396D4C">
                              <w:t>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8A5C2" id="_x0000_s1037" type="#_x0000_t202" style="position:absolute;margin-left:0;margin-top:2.2pt;width:351.2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">
                <v:textbox>
                  <w:txbxContent>
                    <w:p w:rsidR="00C850ED" w:rsidRDefault="00396D4C" w:rsidP="007157A6">
                      <w:r w:rsidRPr="00396D4C">
                        <w:t xml:space="preserve">Text Box (max. 1500 </w:t>
                      </w:r>
                      <w:proofErr w:type="spellStart"/>
                      <w:r w:rsidRPr="00396D4C">
                        <w:t>characters</w:t>
                      </w:r>
                      <w:proofErr w:type="spellEnd"/>
                      <w:r w:rsidRPr="00396D4C">
                        <w:t>)</w:t>
                      </w:r>
                    </w:p>
                  </w:txbxContent>
                </v:textbox>
              </v:shape>
            </w:pict>
          </mc:Fallback>
        </mc:AlternateContent>
      </w:r>
    </w:p>
    <w:p w14:paraId="5E8C553E" w14:textId="77777777" w:rsidR="00C850ED" w:rsidRPr="007157A6" w:rsidRDefault="00C850ED">
      <w:pPr>
        <w:rPr>
          <w:lang w:val="en-GB"/>
        </w:rPr>
      </w:pPr>
    </w:p>
    <w:sectPr w:rsidR="00C850ED" w:rsidRPr="007157A6" w:rsidSect="00C850ED">
      <w:type w:val="continuous"/>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3BCA" w14:textId="77777777" w:rsidR="00B830DE" w:rsidRDefault="005050AB">
      <w:pPr>
        <w:spacing w:after="0" w:line="240" w:lineRule="auto"/>
      </w:pPr>
      <w:r>
        <w:separator/>
      </w:r>
    </w:p>
  </w:endnote>
  <w:endnote w:type="continuationSeparator" w:id="0">
    <w:p w14:paraId="73254D7A" w14:textId="77777777" w:rsidR="00B830DE" w:rsidRDefault="0050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847664"/>
      <w:docPartObj>
        <w:docPartGallery w:val="Page Numbers (Bottom of Page)"/>
        <w:docPartUnique/>
      </w:docPartObj>
    </w:sdtPr>
    <w:sdtEndPr/>
    <w:sdtContent>
      <w:p w14:paraId="7FC65E0C" w14:textId="77777777" w:rsidR="00C850ED" w:rsidRDefault="00C850ED">
        <w:pPr>
          <w:pStyle w:val="Footer"/>
          <w:jc w:val="center"/>
        </w:pPr>
        <w:r>
          <w:fldChar w:fldCharType="begin"/>
        </w:r>
        <w:r>
          <w:instrText>PAGE   \* MERGEFORMAT</w:instrText>
        </w:r>
        <w:r>
          <w:fldChar w:fldCharType="separate"/>
        </w:r>
        <w:r w:rsidR="005050AB">
          <w:rPr>
            <w:noProof/>
          </w:rPr>
          <w:t>16</w:t>
        </w:r>
        <w:r>
          <w:fldChar w:fldCharType="end"/>
        </w:r>
      </w:p>
    </w:sdtContent>
  </w:sdt>
  <w:p w14:paraId="7812E2AC" w14:textId="77777777" w:rsidR="00C850ED" w:rsidRPr="00D47153" w:rsidRDefault="00C850ED" w:rsidP="00C850ED">
    <w:pPr>
      <w:pStyle w:val="Footer"/>
      <w:rPr>
        <w:rFonts w:ascii="Arial" w:hAnsi="Arial" w:cs="Arial"/>
        <w:sz w:val="20"/>
        <w:lang w:val="en-GB"/>
      </w:rPr>
    </w:pPr>
    <w:r w:rsidRPr="00D47153">
      <w:rPr>
        <w:rFonts w:ascii="Arial" w:hAnsi="Arial" w:cs="Arial"/>
        <w:sz w:val="20"/>
        <w:lang w:val="en-GB"/>
      </w:rPr>
      <w:t xml:space="preserve">Sustainable Finance Committee of the Federal Government           </w:t>
    </w:r>
    <w:r>
      <w:rPr>
        <w:rFonts w:ascii="Arial" w:hAnsi="Arial" w:cs="Arial"/>
        <w:sz w:val="20"/>
        <w:lang w:val="en-GB"/>
      </w:rPr>
      <w:tab/>
      <w:t xml:space="preserve">                       </w:t>
    </w:r>
    <w:r w:rsidRPr="00D47153">
      <w:rPr>
        <w:rFonts w:ascii="Arial" w:hAnsi="Arial" w:cs="Arial"/>
        <w:sz w:val="20"/>
        <w:lang w:val="en-GB"/>
      </w:rPr>
      <w:t xml:space="preserve">            Overview of the consultation questions accompanying the Interim Report</w:t>
    </w:r>
  </w:p>
  <w:p w14:paraId="078EEB7B" w14:textId="77777777" w:rsidR="00C850ED" w:rsidRPr="00D47153" w:rsidRDefault="00C850ED">
    <w:pP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DF455" w14:textId="77777777" w:rsidR="00B830DE" w:rsidRDefault="005050AB">
      <w:pPr>
        <w:spacing w:after="0" w:line="240" w:lineRule="auto"/>
      </w:pPr>
      <w:r>
        <w:separator/>
      </w:r>
    </w:p>
  </w:footnote>
  <w:footnote w:type="continuationSeparator" w:id="0">
    <w:p w14:paraId="0868831F" w14:textId="77777777" w:rsidR="00B830DE" w:rsidRDefault="00505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D95"/>
    <w:multiLevelType w:val="hybridMultilevel"/>
    <w:tmpl w:val="A02E8014"/>
    <w:lvl w:ilvl="0" w:tplc="072A1176">
      <w:start w:val="1"/>
      <w:numFmt w:val="lowerLetter"/>
      <w:lvlText w:val="%1)"/>
      <w:lvlJc w:val="left"/>
      <w:pPr>
        <w:ind w:left="1069" w:hanging="360"/>
      </w:pPr>
      <w:rPr>
        <w:rFonts w:ascii="Calibri" w:hAnsi="Calibri" w:hint="default"/>
        <w:b w:val="0"/>
        <w:bCs w:val="0"/>
        <w:i w:val="0"/>
        <w:iCs w:val="0"/>
        <w:caps w:val="0"/>
        <w:smallCaps w:val="0"/>
        <w:strike w:val="0"/>
        <w:dstrike w:val="0"/>
        <w:outline w:val="0"/>
        <w:emboss w:val="0"/>
        <w:imprint w:val="0"/>
        <w:spacing w:val="0"/>
        <w:w w:val="100"/>
        <w:kern w:val="0"/>
        <w:position w:val="0"/>
        <w:sz w:val="22"/>
        <w:highlight w:val="none"/>
        <w:vertAlign w:val="baseline"/>
      </w:rPr>
    </w:lvl>
    <w:lvl w:ilvl="1" w:tplc="0B82D6BA">
      <w:start w:val="1"/>
      <w:numFmt w:val="upperRoman"/>
      <w:lvlText w:val="%2."/>
      <w:lvlJc w:val="right"/>
      <w:pPr>
        <w:ind w:left="1789"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2" w:tplc="812ACEF6">
      <w:start w:val="1"/>
      <w:numFmt w:val="bullet"/>
      <w:lvlText w:val="▪"/>
      <w:lvlJc w:val="left"/>
      <w:pPr>
        <w:ind w:left="25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3A8DCDE">
      <w:start w:val="1"/>
      <w:numFmt w:val="bullet"/>
      <w:lvlText w:val="•"/>
      <w:lvlJc w:val="left"/>
      <w:pPr>
        <w:ind w:left="322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C8225E">
      <w:start w:val="1"/>
      <w:numFmt w:val="bullet"/>
      <w:lvlText w:val="o"/>
      <w:lvlJc w:val="left"/>
      <w:pPr>
        <w:ind w:left="394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F6C482">
      <w:start w:val="1"/>
      <w:numFmt w:val="bullet"/>
      <w:lvlText w:val="▪"/>
      <w:lvlJc w:val="left"/>
      <w:pPr>
        <w:ind w:left="46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2DADDFC">
      <w:start w:val="1"/>
      <w:numFmt w:val="bullet"/>
      <w:lvlText w:val="•"/>
      <w:lvlJc w:val="left"/>
      <w:pPr>
        <w:ind w:left="538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321718">
      <w:start w:val="1"/>
      <w:numFmt w:val="bullet"/>
      <w:lvlText w:val="o"/>
      <w:lvlJc w:val="left"/>
      <w:pPr>
        <w:ind w:left="61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E36F3C0">
      <w:start w:val="1"/>
      <w:numFmt w:val="bullet"/>
      <w:lvlText w:val="▪"/>
      <w:lvlJc w:val="left"/>
      <w:pPr>
        <w:ind w:left="682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657AEF"/>
    <w:multiLevelType w:val="hybridMultilevel"/>
    <w:tmpl w:val="05E2F47C"/>
    <w:lvl w:ilvl="0" w:tplc="0407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EB0DA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487A8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28C3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80EA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BF8676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89D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F2A95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4E215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D6CB1"/>
    <w:multiLevelType w:val="hybridMultilevel"/>
    <w:tmpl w:val="183E76B4"/>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1A53E0"/>
    <w:multiLevelType w:val="hybridMultilevel"/>
    <w:tmpl w:val="538EDBE8"/>
    <w:lvl w:ilvl="0" w:tplc="2176FEE6">
      <w:start w:val="1"/>
      <w:numFmt w:val="decimal"/>
      <w:lvlText w:val="%1."/>
      <w:lvlJc w:val="left"/>
      <w:pPr>
        <w:ind w:left="360" w:hanging="360"/>
      </w:pPr>
      <w:rPr>
        <w:rFonts w:eastAsiaTheme="minorHAnsi" w:cstheme="min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75349A"/>
    <w:multiLevelType w:val="hybridMultilevel"/>
    <w:tmpl w:val="79A07AFC"/>
    <w:lvl w:ilvl="0" w:tplc="84D8E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60668"/>
    <w:multiLevelType w:val="hybridMultilevel"/>
    <w:tmpl w:val="E656F0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C12F07"/>
    <w:multiLevelType w:val="hybridMultilevel"/>
    <w:tmpl w:val="DB945C3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EC3DBA"/>
    <w:multiLevelType w:val="hybridMultilevel"/>
    <w:tmpl w:val="0BE6F5A0"/>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A5820808">
      <w:start w:val="1"/>
      <w:numFmt w:val="bullet"/>
      <w:lvlText w:val="-"/>
      <w:lvlJc w:val="left"/>
      <w:pPr>
        <w:ind w:left="4680" w:hanging="360"/>
      </w:pPr>
      <w:rPr>
        <w:rFonts w:ascii="Calibri" w:eastAsiaTheme="minorHAnsi" w:hAnsi="Calibri" w:cs="Calibri"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F72E52"/>
    <w:multiLevelType w:val="hybridMultilevel"/>
    <w:tmpl w:val="75F267EC"/>
    <w:lvl w:ilvl="0" w:tplc="230250CC">
      <w:start w:val="1"/>
      <w:numFmt w:val="decimal"/>
      <w:lvlText w:val="%1."/>
      <w:lvlJc w:val="right"/>
      <w:pPr>
        <w:ind w:left="720" w:hanging="360"/>
      </w:pPr>
      <w:rPr>
        <w:rFonts w:ascii="Calibri" w:eastAsiaTheme="minorHAnsi" w:hAnsi="Calibr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C345E"/>
    <w:multiLevelType w:val="hybridMultilevel"/>
    <w:tmpl w:val="8A100904"/>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A23C2F"/>
    <w:multiLevelType w:val="hybridMultilevel"/>
    <w:tmpl w:val="3376C81A"/>
    <w:lvl w:ilvl="0" w:tplc="B6660D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5B06F1"/>
    <w:multiLevelType w:val="hybridMultilevel"/>
    <w:tmpl w:val="15FA6894"/>
    <w:lvl w:ilvl="0" w:tplc="072A1176">
      <w:start w:val="1"/>
      <w:numFmt w:val="lowerLetter"/>
      <w:lvlText w:val="%1)"/>
      <w:lvlJc w:val="left"/>
      <w:pPr>
        <w:ind w:left="720" w:hanging="360"/>
      </w:pPr>
      <w:rPr>
        <w:rFonts w:ascii="Calibri" w:hAnsi="Calibri" w:hint="default"/>
        <w:b w:val="0"/>
        <w:i w:val="0"/>
        <w:caps w:val="0"/>
        <w:strike w:val="0"/>
        <w:dstrike w:val="0"/>
        <w:outline w:val="0"/>
        <w:emboss w:val="0"/>
        <w:imprint w:val="0"/>
        <w:spacing w:val="0"/>
        <w:w w:val="100"/>
        <w:kern w:val="0"/>
        <w:position w:val="0"/>
        <w:sz w:val="22"/>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B30FC6"/>
    <w:multiLevelType w:val="hybridMultilevel"/>
    <w:tmpl w:val="850A647E"/>
    <w:lvl w:ilvl="0" w:tplc="0407000F">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0C61B9D"/>
    <w:multiLevelType w:val="hybridMultilevel"/>
    <w:tmpl w:val="2696A4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60918D4"/>
    <w:multiLevelType w:val="hybridMultilevel"/>
    <w:tmpl w:val="642C4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C9C3DE8"/>
    <w:multiLevelType w:val="hybridMultilevel"/>
    <w:tmpl w:val="C54C8B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554BF16">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5A4598"/>
    <w:multiLevelType w:val="hybridMultilevel"/>
    <w:tmpl w:val="9A205E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841539"/>
    <w:multiLevelType w:val="hybridMultilevel"/>
    <w:tmpl w:val="E3AAB098"/>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ED4991"/>
    <w:multiLevelType w:val="hybridMultilevel"/>
    <w:tmpl w:val="F57C2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E154F8E"/>
    <w:multiLevelType w:val="hybridMultilevel"/>
    <w:tmpl w:val="71A8DC80"/>
    <w:lvl w:ilvl="0" w:tplc="ADF893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46B63FA"/>
    <w:multiLevelType w:val="hybridMultilevel"/>
    <w:tmpl w:val="89DA1638"/>
    <w:lvl w:ilvl="0" w:tplc="ADF893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F45116"/>
    <w:multiLevelType w:val="hybridMultilevel"/>
    <w:tmpl w:val="E7A2E6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56E1274"/>
    <w:multiLevelType w:val="hybridMultilevel"/>
    <w:tmpl w:val="65C820CC"/>
    <w:lvl w:ilvl="0" w:tplc="E9C0FD8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C833A7"/>
    <w:multiLevelType w:val="hybridMultilevel"/>
    <w:tmpl w:val="FDF8A9E0"/>
    <w:lvl w:ilvl="0" w:tplc="82241310">
      <w:start w:val="1"/>
      <w:numFmt w:val="decimal"/>
      <w:lvlText w:val="%1."/>
      <w:lvlJc w:val="left"/>
      <w:pPr>
        <w:ind w:left="360" w:hanging="360"/>
      </w:pPr>
      <w:rPr>
        <w:rFonts w:ascii="Calibri" w:eastAsiaTheme="minorHAnsi" w:hAnsi="Calibri" w:cstheme="minorBidi"/>
        <w:b w:val="0"/>
        <w:bCs w:val="0"/>
        <w:i w:val="0"/>
        <w:iCs w:val="0"/>
        <w:caps w:val="0"/>
        <w:smallCaps w:val="0"/>
        <w:strike w:val="0"/>
        <w:dstrike w:val="0"/>
        <w:outline w:val="0"/>
        <w:emboss w:val="0"/>
        <w:imprint w:val="0"/>
        <w:spacing w:val="0"/>
        <w:w w:val="100"/>
        <w:kern w:val="0"/>
        <w:position w:val="0"/>
        <w:sz w:val="22"/>
        <w:highlight w:val="none"/>
        <w:vertAlign w:val="baseline"/>
      </w:rPr>
    </w:lvl>
    <w:lvl w:ilvl="1" w:tplc="E3EC822E">
      <w:start w:val="1"/>
      <w:numFmt w:val="decimal"/>
      <w:lvlText w:val="%2."/>
      <w:lvlJc w:val="right"/>
      <w:pPr>
        <w:ind w:left="1080" w:hanging="360"/>
      </w:pPr>
      <w:rPr>
        <w:rFonts w:ascii="Calibri" w:eastAsiaTheme="minorHAnsi" w:hAnsi="Calibri" w:cstheme="minorBidi"/>
        <w:b w:val="0"/>
        <w:bCs w:val="0"/>
        <w:i w:val="0"/>
        <w:iCs w:val="0"/>
        <w:caps w:val="0"/>
        <w:smallCaps w:val="0"/>
        <w:strike w:val="0"/>
        <w:dstrike w:val="0"/>
        <w:outline w:val="0"/>
        <w:emboss w:val="0"/>
        <w:imprint w:val="0"/>
        <w:spacing w:val="0"/>
        <w:w w:val="100"/>
        <w:kern w:val="0"/>
        <w:position w:val="0"/>
        <w:highlight w:val="none"/>
        <w:vertAlign w:val="baseline"/>
      </w:rPr>
    </w:lvl>
    <w:lvl w:ilvl="2" w:tplc="812ACEF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3A8DCD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C8225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F6C48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2DADDF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32171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E36F3C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AE1F1D"/>
    <w:multiLevelType w:val="hybridMultilevel"/>
    <w:tmpl w:val="6C7C6B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E35F8F"/>
    <w:multiLevelType w:val="hybridMultilevel"/>
    <w:tmpl w:val="6CFED49C"/>
    <w:lvl w:ilvl="0" w:tplc="04070005">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64E73EA1"/>
    <w:multiLevelType w:val="hybridMultilevel"/>
    <w:tmpl w:val="2684EBAC"/>
    <w:lvl w:ilvl="0" w:tplc="C3C8426E">
      <w:start w:val="1"/>
      <w:numFmt w:val="decimal"/>
      <w:lvlText w:val="%1."/>
      <w:lvlJc w:val="left"/>
      <w:pPr>
        <w:ind w:left="720" w:hanging="360"/>
      </w:pPr>
      <w:rPr>
        <w:rFonts w:ascii="Calibri" w:eastAsia="Times New Roman" w:hAnsi="Calibri"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B0DA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487A8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28C3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80EA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BF8676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89D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F2A95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4E215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E075DF"/>
    <w:multiLevelType w:val="hybridMultilevel"/>
    <w:tmpl w:val="BB7E3FD2"/>
    <w:lvl w:ilvl="0" w:tplc="84D8EF2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DAD6389"/>
    <w:multiLevelType w:val="hybridMultilevel"/>
    <w:tmpl w:val="23A845FE"/>
    <w:lvl w:ilvl="0" w:tplc="84D8E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841ABE"/>
    <w:multiLevelType w:val="hybridMultilevel"/>
    <w:tmpl w:val="3118D5E0"/>
    <w:lvl w:ilvl="0" w:tplc="0478EA30">
      <w:start w:val="1"/>
      <w:numFmt w:val="lowerLetter"/>
      <w:lvlText w:val="%1)"/>
      <w:lvlJc w:val="left"/>
      <w:pPr>
        <w:ind w:left="567" w:hanging="284"/>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8640C9C0">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D2828CE">
      <w:start w:val="1"/>
      <w:numFmt w:val="lowerRoman"/>
      <w:lvlText w:val="%3."/>
      <w:lvlJc w:val="left"/>
      <w:pPr>
        <w:ind w:left="2007"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A1AE59A">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16C558C">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65E979A">
      <w:start w:val="1"/>
      <w:numFmt w:val="lowerRoman"/>
      <w:lvlText w:val="%6."/>
      <w:lvlJc w:val="left"/>
      <w:pPr>
        <w:ind w:left="4167"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E327BCA">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3700036">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D8D6A4">
      <w:start w:val="1"/>
      <w:numFmt w:val="lowerRoman"/>
      <w:lvlText w:val="%9."/>
      <w:lvlJc w:val="left"/>
      <w:pPr>
        <w:ind w:left="6327" w:hanging="21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5"/>
  </w:num>
  <w:num w:numId="3">
    <w:abstractNumId w:val="6"/>
  </w:num>
  <w:num w:numId="4">
    <w:abstractNumId w:val="13"/>
  </w:num>
  <w:num w:numId="5">
    <w:abstractNumId w:val="21"/>
  </w:num>
  <w:num w:numId="6">
    <w:abstractNumId w:val="15"/>
  </w:num>
  <w:num w:numId="7">
    <w:abstractNumId w:val="24"/>
  </w:num>
  <w:num w:numId="8">
    <w:abstractNumId w:val="18"/>
  </w:num>
  <w:num w:numId="9">
    <w:abstractNumId w:val="10"/>
  </w:num>
  <w:num w:numId="10">
    <w:abstractNumId w:val="22"/>
  </w:num>
  <w:num w:numId="11">
    <w:abstractNumId w:val="17"/>
  </w:num>
  <w:num w:numId="12">
    <w:abstractNumId w:val="7"/>
  </w:num>
  <w:num w:numId="13">
    <w:abstractNumId w:val="14"/>
  </w:num>
  <w:num w:numId="14">
    <w:abstractNumId w:val="28"/>
  </w:num>
  <w:num w:numId="15">
    <w:abstractNumId w:val="4"/>
  </w:num>
  <w:num w:numId="16">
    <w:abstractNumId w:val="27"/>
  </w:num>
  <w:num w:numId="17">
    <w:abstractNumId w:val="2"/>
  </w:num>
  <w:num w:numId="18">
    <w:abstractNumId w:val="20"/>
  </w:num>
  <w:num w:numId="19">
    <w:abstractNumId w:val="1"/>
  </w:num>
  <w:num w:numId="20">
    <w:abstractNumId w:val="26"/>
  </w:num>
  <w:num w:numId="21">
    <w:abstractNumId w:val="0"/>
  </w:num>
  <w:num w:numId="22">
    <w:abstractNumId w:val="23"/>
  </w:num>
  <w:num w:numId="23">
    <w:abstractNumId w:val="11"/>
  </w:num>
  <w:num w:numId="24">
    <w:abstractNumId w:val="8"/>
  </w:num>
  <w:num w:numId="25">
    <w:abstractNumId w:val="29"/>
  </w:num>
  <w:num w:numId="26">
    <w:abstractNumId w:val="12"/>
  </w:num>
  <w:num w:numId="27">
    <w:abstractNumId w:val="3"/>
  </w:num>
  <w:num w:numId="28">
    <w:abstractNumId w:val="25"/>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A6"/>
    <w:rsid w:val="00375E67"/>
    <w:rsid w:val="00396D4C"/>
    <w:rsid w:val="005050AB"/>
    <w:rsid w:val="005504E4"/>
    <w:rsid w:val="007157A6"/>
    <w:rsid w:val="00717905"/>
    <w:rsid w:val="00B830DE"/>
    <w:rsid w:val="00C850ED"/>
    <w:rsid w:val="00E15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6EB0"/>
  <w15:chartTrackingRefBased/>
  <w15:docId w15:val="{002BF819-73DA-4A8D-BC58-88605C86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57A6"/>
    <w:pPr>
      <w:ind w:left="720"/>
      <w:contextualSpacing/>
    </w:pPr>
  </w:style>
  <w:style w:type="paragraph" w:styleId="Header">
    <w:name w:val="header"/>
    <w:basedOn w:val="Normal"/>
    <w:link w:val="HeaderChar"/>
    <w:uiPriority w:val="99"/>
    <w:unhideWhenUsed/>
    <w:rsid w:val="007157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7A6"/>
  </w:style>
  <w:style w:type="paragraph" w:styleId="Footer">
    <w:name w:val="footer"/>
    <w:basedOn w:val="Normal"/>
    <w:link w:val="FooterChar"/>
    <w:uiPriority w:val="99"/>
    <w:unhideWhenUsed/>
    <w:rsid w:val="007157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57A6"/>
  </w:style>
  <w:style w:type="paragraph" w:styleId="BalloonText">
    <w:name w:val="Balloon Text"/>
    <w:basedOn w:val="Normal"/>
    <w:link w:val="BalloonTextChar"/>
    <w:uiPriority w:val="99"/>
    <w:semiHidden/>
    <w:unhideWhenUsed/>
    <w:rsid w:val="00715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6"/>
    <w:rPr>
      <w:rFonts w:ascii="Segoe UI" w:hAnsi="Segoe UI" w:cs="Segoe UI"/>
      <w:sz w:val="18"/>
      <w:szCs w:val="18"/>
    </w:rPr>
  </w:style>
  <w:style w:type="character" w:styleId="CommentReference">
    <w:name w:val="annotation reference"/>
    <w:basedOn w:val="DefaultParagraphFont"/>
    <w:uiPriority w:val="99"/>
    <w:semiHidden/>
    <w:unhideWhenUsed/>
    <w:rsid w:val="007157A6"/>
    <w:rPr>
      <w:sz w:val="16"/>
      <w:szCs w:val="16"/>
    </w:rPr>
  </w:style>
  <w:style w:type="paragraph" w:styleId="CommentText">
    <w:name w:val="annotation text"/>
    <w:basedOn w:val="Normal"/>
    <w:link w:val="CommentTextChar"/>
    <w:uiPriority w:val="99"/>
    <w:unhideWhenUsed/>
    <w:rsid w:val="007157A6"/>
    <w:pPr>
      <w:spacing w:line="240" w:lineRule="auto"/>
    </w:pPr>
    <w:rPr>
      <w:sz w:val="20"/>
      <w:szCs w:val="20"/>
    </w:rPr>
  </w:style>
  <w:style w:type="character" w:customStyle="1" w:styleId="CommentTextChar">
    <w:name w:val="Comment Text Char"/>
    <w:basedOn w:val="DefaultParagraphFont"/>
    <w:link w:val="CommentText"/>
    <w:uiPriority w:val="99"/>
    <w:rsid w:val="007157A6"/>
    <w:rPr>
      <w:sz w:val="20"/>
      <w:szCs w:val="20"/>
    </w:rPr>
  </w:style>
  <w:style w:type="paragraph" w:styleId="CommentSubject">
    <w:name w:val="annotation subject"/>
    <w:basedOn w:val="CommentText"/>
    <w:next w:val="CommentText"/>
    <w:link w:val="CommentSubjectChar"/>
    <w:uiPriority w:val="99"/>
    <w:semiHidden/>
    <w:unhideWhenUsed/>
    <w:rsid w:val="007157A6"/>
    <w:rPr>
      <w:b/>
      <w:bCs/>
    </w:rPr>
  </w:style>
  <w:style w:type="character" w:customStyle="1" w:styleId="CommentSubjectChar">
    <w:name w:val="Comment Subject Char"/>
    <w:basedOn w:val="CommentTextChar"/>
    <w:link w:val="CommentSubject"/>
    <w:uiPriority w:val="99"/>
    <w:semiHidden/>
    <w:rsid w:val="007157A6"/>
    <w:rPr>
      <w:b/>
      <w:bCs/>
      <w:sz w:val="20"/>
      <w:szCs w:val="20"/>
    </w:rPr>
  </w:style>
  <w:style w:type="table" w:styleId="TableGrid">
    <w:name w:val="Table Grid"/>
    <w:basedOn w:val="TableNormal"/>
    <w:uiPriority w:val="39"/>
    <w:rsid w:val="0071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hne">
    <w:name w:val="Ohne"/>
    <w:rsid w:val="007157A6"/>
  </w:style>
  <w:style w:type="paragraph" w:styleId="FootnoteText">
    <w:name w:val="footnote text"/>
    <w:link w:val="FootnoteTextChar"/>
    <w:uiPriority w:val="99"/>
    <w:rsid w:val="007157A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GB" w:eastAsia="de-DE"/>
    </w:rPr>
  </w:style>
  <w:style w:type="character" w:customStyle="1" w:styleId="FootnoteTextChar">
    <w:name w:val="Footnote Text Char"/>
    <w:basedOn w:val="DefaultParagraphFont"/>
    <w:link w:val="FootnoteText"/>
    <w:uiPriority w:val="99"/>
    <w:rsid w:val="007157A6"/>
    <w:rPr>
      <w:rFonts w:ascii="Calibri" w:eastAsia="Calibri" w:hAnsi="Calibri" w:cs="Calibri"/>
      <w:color w:val="000000"/>
      <w:sz w:val="20"/>
      <w:szCs w:val="20"/>
      <w:u w:color="000000"/>
      <w:bdr w:val="nil"/>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76973A59CFF4E9925E16EAA0DDA20" ma:contentTypeVersion="8" ma:contentTypeDescription="Create a new document." ma:contentTypeScope="" ma:versionID="364e57b2cfdf4b87e81bc8dfd05ca220">
  <xsd:schema xmlns:xsd="http://www.w3.org/2001/XMLSchema" xmlns:xs="http://www.w3.org/2001/XMLSchema" xmlns:p="http://schemas.microsoft.com/office/2006/metadata/properties" xmlns:ns2="4e2692e8-dc72-4dd6-ad79-6e3956b18ff7" xmlns:ns3="d1f2cb5e-90ed-446c-b55a-c8efd3225fcc" xmlns:ns4="22dc5aff-f6b8-4275-87d3-ccc397dd66b3" targetNamespace="http://schemas.microsoft.com/office/2006/metadata/properties" ma:root="true" ma:fieldsID="da3f236e046e8ea39d7e069d6c56e3d6" ns2:_="" ns3:_="" ns4:_="">
    <xsd:import namespace="4e2692e8-dc72-4dd6-ad79-6e3956b18ff7"/>
    <xsd:import namespace="d1f2cb5e-90ed-446c-b55a-c8efd3225fcc"/>
    <xsd:import namespace="22dc5aff-f6b8-4275-87d3-ccc397dd66b3"/>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692e8-dc72-4dd6-ad79-6e3956b18f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c5aff-f6b8-4275-87d3-ccc397dd66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D9108-0658-47BC-950D-2EFBCC0A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692e8-dc72-4dd6-ad79-6e3956b18ff7"/>
    <ds:schemaRef ds:uri="d1f2cb5e-90ed-446c-b55a-c8efd3225fcc"/>
    <ds:schemaRef ds:uri="22dc5aff-f6b8-4275-87d3-ccc397dd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71C76-6E8F-47C2-A7FB-AECB716881DB}">
  <ds:schemaRefs>
    <ds:schemaRef ds:uri="http://schemas.microsoft.com/sharepoint/v3/contenttype/forms"/>
  </ds:schemaRefs>
</ds:datastoreItem>
</file>

<file path=customXml/itemProps3.xml><?xml version="1.0" encoding="utf-8"?>
<ds:datastoreItem xmlns:ds="http://schemas.openxmlformats.org/officeDocument/2006/customXml" ds:itemID="{FDF3D4E8-CFEF-4C0D-8ECC-E0B7533934A6}">
  <ds:schemaRefs>
    <ds:schemaRef ds:uri="http://purl.org/dc/elements/1.1/"/>
    <ds:schemaRef ds:uri="d1f2cb5e-90ed-446c-b55a-c8efd3225fcc"/>
    <ds:schemaRef ds:uri="4e2692e8-dc72-4dd6-ad79-6e3956b18ff7"/>
    <ds:schemaRef ds:uri="http://purl.org/dc/dcmitype/"/>
    <ds:schemaRef ds:uri="22dc5aff-f6b8-4275-87d3-ccc397dd66b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9064</Words>
  <Characters>51665</Characters>
  <Application>Microsoft Office Word</Application>
  <DocSecurity>0</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VD0W2014</Company>
  <LinksUpToDate>false</LinksUpToDate>
  <CharactersWithSpaces>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Trillig, Laurence (VII B 2)</dc:creator>
  <cp:keywords/>
  <dc:description/>
  <cp:lastModifiedBy>Susanne Draeger</cp:lastModifiedBy>
  <cp:revision>2</cp:revision>
  <dcterms:created xsi:type="dcterms:W3CDTF">2020-04-03T10:57:00Z</dcterms:created>
  <dcterms:modified xsi:type="dcterms:W3CDTF">2020-04-03T10:57:00Z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0x010100EF576973A59CFF4E9925E16EAA0DDA20</vt:lpwstr>
  </property>
</Properties>
</file>